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B337D" w14:textId="0F076638" w:rsidR="00524376" w:rsidRPr="00524376" w:rsidRDefault="00524376" w:rsidP="00524376">
      <w:pPr>
        <w:spacing w:before="240" w:after="240" w:line="240" w:lineRule="auto"/>
        <w:jc w:val="center"/>
        <w:rPr>
          <w:rFonts w:ascii="Garamond" w:hAnsi="Garamond"/>
          <w:b/>
          <w:sz w:val="28"/>
          <w:szCs w:val="28"/>
        </w:rPr>
      </w:pPr>
      <w:bookmarkStart w:id="0" w:name="content_ertelmezo"/>
      <w:r w:rsidRPr="00524376">
        <w:rPr>
          <w:rFonts w:ascii="Garamond" w:hAnsi="Garamond"/>
          <w:b/>
          <w:sz w:val="28"/>
          <w:szCs w:val="28"/>
        </w:rPr>
        <w:t>ÁRVERÉSI FELTÉTELEK</w:t>
      </w:r>
    </w:p>
    <w:p w14:paraId="65909FF0" w14:textId="7ABB3431" w:rsidR="00524376" w:rsidRPr="00524376" w:rsidRDefault="0089572D" w:rsidP="00524376">
      <w:pPr>
        <w:pStyle w:val="Listaszerbekezds"/>
        <w:numPr>
          <w:ilvl w:val="0"/>
          <w:numId w:val="3"/>
        </w:numPr>
        <w:spacing w:before="240" w:after="240" w:line="240" w:lineRule="auto"/>
        <w:jc w:val="both"/>
        <w:rPr>
          <w:rFonts w:ascii="Garamond" w:hAnsi="Garamond"/>
          <w:b/>
          <w:sz w:val="24"/>
        </w:rPr>
      </w:pPr>
      <w:r w:rsidRPr="00524376">
        <w:rPr>
          <w:rFonts w:ascii="Garamond" w:hAnsi="Garamond"/>
          <w:b/>
          <w:sz w:val="24"/>
        </w:rPr>
        <w:t>Értelmező rendelkezések</w:t>
      </w:r>
      <w:bookmarkEnd w:id="0"/>
    </w:p>
    <w:p w14:paraId="121320DF" w14:textId="12989650"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b/>
          <w:sz w:val="24"/>
        </w:rPr>
        <w:t>Aukciós</w:t>
      </w:r>
      <w:r w:rsidR="00DC192C">
        <w:rPr>
          <w:rFonts w:ascii="Garamond" w:hAnsi="Garamond"/>
          <w:b/>
          <w:sz w:val="24"/>
        </w:rPr>
        <w:t>h</w:t>
      </w:r>
      <w:r w:rsidRPr="00514EBA">
        <w:rPr>
          <w:rFonts w:ascii="Garamond" w:hAnsi="Garamond"/>
          <w:b/>
          <w:sz w:val="24"/>
        </w:rPr>
        <w:t>áz</w:t>
      </w:r>
      <w:r w:rsidRPr="00514EBA">
        <w:rPr>
          <w:rFonts w:ascii="Garamond" w:hAnsi="Garamond"/>
          <w:sz w:val="24"/>
        </w:rPr>
        <w:t>: a BÁV Aukciósház és Záloghitel Zártkörűen Működő Részvénytársaság (1027 Budapest, Csalogány u. 23-33.), mint árverés szervezésével üzletszerűen foglalkozó jogi személy.</w:t>
      </w:r>
    </w:p>
    <w:p w14:paraId="02E0D50C" w14:textId="5FAF5F0D"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b/>
          <w:sz w:val="24"/>
        </w:rPr>
        <w:t>Árverési vevő</w:t>
      </w:r>
      <w:r w:rsidRPr="00514EBA">
        <w:rPr>
          <w:rFonts w:ascii="Garamond" w:hAnsi="Garamond"/>
          <w:sz w:val="24"/>
        </w:rPr>
        <w:t>: olyan</w:t>
      </w:r>
      <w:r w:rsidR="002A3F3D" w:rsidRPr="00514EBA">
        <w:rPr>
          <w:rFonts w:ascii="Garamond" w:hAnsi="Garamond"/>
          <w:sz w:val="24"/>
        </w:rPr>
        <w:t xml:space="preserve"> </w:t>
      </w:r>
      <w:r w:rsidRPr="00514EBA">
        <w:rPr>
          <w:rFonts w:ascii="Garamond" w:hAnsi="Garamond"/>
          <w:sz w:val="24"/>
        </w:rPr>
        <w:t>személy vagy szervezet, aki/amely személyesen vagy képviselője útján regisztrált tárcsával, avagy a jelen árverési feltételek 8. fejezete szerint távollévő árverési vevőként az árverési tételre vételi ajánlatot kíván tenni vagy tesz.</w:t>
      </w:r>
    </w:p>
    <w:p w14:paraId="0659CC29" w14:textId="65DE5481"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b/>
          <w:sz w:val="24"/>
        </w:rPr>
        <w:t>Vevő</w:t>
      </w:r>
      <w:r w:rsidRPr="00514EBA">
        <w:rPr>
          <w:rFonts w:ascii="Garamond" w:hAnsi="Garamond"/>
          <w:sz w:val="24"/>
        </w:rPr>
        <w:t>: az Árverési vevő, akivel az adásvételi szerződés létrejön.</w:t>
      </w:r>
    </w:p>
    <w:p w14:paraId="3DF9E71C" w14:textId="02CB295F"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b/>
          <w:sz w:val="24"/>
        </w:rPr>
        <w:t>Leütési ár</w:t>
      </w:r>
      <w:r w:rsidRPr="00514EBA">
        <w:rPr>
          <w:rFonts w:ascii="Garamond" w:hAnsi="Garamond"/>
          <w:sz w:val="24"/>
        </w:rPr>
        <w:t xml:space="preserve">: Az </w:t>
      </w:r>
      <w:r w:rsidR="00C2655F">
        <w:rPr>
          <w:rFonts w:ascii="Garamond" w:hAnsi="Garamond"/>
          <w:sz w:val="24"/>
        </w:rPr>
        <w:t>Aukciósház</w:t>
      </w:r>
      <w:r w:rsidRPr="00514EBA">
        <w:rPr>
          <w:rFonts w:ascii="Garamond" w:hAnsi="Garamond"/>
          <w:sz w:val="24"/>
        </w:rPr>
        <w:t xml:space="preserve"> által az adott tételre legmagasabb áron ajánlatot tevő Árverési vevő vételi ajánlatának elfogadásával és az elfogadás leütéssel történő visszaigazolásával kialakult ár, amely nem azonos a jelen árverési feltételekben meghatározott </w:t>
      </w:r>
      <w:r w:rsidR="007F1E39" w:rsidRPr="00514EBA">
        <w:rPr>
          <w:rFonts w:ascii="Garamond" w:hAnsi="Garamond"/>
          <w:sz w:val="24"/>
        </w:rPr>
        <w:t>(</w:t>
      </w:r>
      <w:r w:rsidRPr="00514EBA">
        <w:rPr>
          <w:rFonts w:ascii="Garamond" w:hAnsi="Garamond"/>
          <w:sz w:val="24"/>
        </w:rPr>
        <w:t>teljes</w:t>
      </w:r>
      <w:r w:rsidR="007F1E39" w:rsidRPr="00514EBA">
        <w:rPr>
          <w:rFonts w:ascii="Garamond" w:hAnsi="Garamond"/>
          <w:sz w:val="24"/>
        </w:rPr>
        <w:t>)</w:t>
      </w:r>
      <w:r w:rsidRPr="00514EBA">
        <w:rPr>
          <w:rFonts w:ascii="Garamond" w:hAnsi="Garamond"/>
          <w:sz w:val="24"/>
        </w:rPr>
        <w:t xml:space="preserve"> vételárral.</w:t>
      </w:r>
    </w:p>
    <w:p w14:paraId="37240012" w14:textId="3FB6404D" w:rsidR="0089572D" w:rsidRPr="00514EBA" w:rsidRDefault="007F1E39"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b/>
          <w:sz w:val="24"/>
        </w:rPr>
        <w:t>V</w:t>
      </w:r>
      <w:r w:rsidR="0089572D" w:rsidRPr="00514EBA">
        <w:rPr>
          <w:rFonts w:ascii="Garamond" w:hAnsi="Garamond"/>
          <w:b/>
          <w:sz w:val="24"/>
        </w:rPr>
        <w:t>ételár</w:t>
      </w:r>
      <w:r w:rsidR="0089572D" w:rsidRPr="00514EBA">
        <w:rPr>
          <w:rFonts w:ascii="Garamond" w:hAnsi="Garamond"/>
          <w:sz w:val="24"/>
        </w:rPr>
        <w:t xml:space="preserve">: a </w:t>
      </w:r>
      <w:r w:rsidR="00B378CB" w:rsidRPr="00514EBA">
        <w:rPr>
          <w:rFonts w:ascii="Garamond" w:hAnsi="Garamond"/>
          <w:sz w:val="24"/>
        </w:rPr>
        <w:t>L</w:t>
      </w:r>
      <w:r w:rsidR="0089572D" w:rsidRPr="00514EBA">
        <w:rPr>
          <w:rFonts w:ascii="Garamond" w:hAnsi="Garamond"/>
          <w:sz w:val="24"/>
        </w:rPr>
        <w:t>eütési árnak a jelen árverési feltételek 6. pontjában írt tételekkel növelt összege.</w:t>
      </w:r>
    </w:p>
    <w:p w14:paraId="1A29E0D0" w14:textId="2F09F6CC"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1" w:name="content_arveresi_tetelek"/>
      <w:r w:rsidRPr="00514EBA">
        <w:rPr>
          <w:rFonts w:ascii="Garamond" w:hAnsi="Garamond"/>
          <w:b/>
          <w:sz w:val="24"/>
        </w:rPr>
        <w:t>Árverési tételek</w:t>
      </w:r>
      <w:bookmarkEnd w:id="1"/>
    </w:p>
    <w:p w14:paraId="53A25D9C" w14:textId="3AB36EC6"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Árverési tétel az </w:t>
      </w:r>
      <w:r w:rsidR="00C2655F">
        <w:rPr>
          <w:rFonts w:ascii="Garamond" w:hAnsi="Garamond"/>
          <w:sz w:val="24"/>
        </w:rPr>
        <w:t>Aukciósház</w:t>
      </w:r>
      <w:r w:rsidRPr="00514EBA">
        <w:rPr>
          <w:rFonts w:ascii="Garamond" w:hAnsi="Garamond"/>
          <w:sz w:val="24"/>
        </w:rPr>
        <w:t xml:space="preserve"> által az árverésre alkalmasnak talált, és az árverésen belül önálló licitre bocsátható tárgy vagy tárgycsoport. Az </w:t>
      </w:r>
      <w:r w:rsidR="00C2655F">
        <w:rPr>
          <w:rFonts w:ascii="Garamond" w:hAnsi="Garamond"/>
          <w:sz w:val="24"/>
        </w:rPr>
        <w:t>Aukciósház</w:t>
      </w:r>
      <w:r w:rsidRPr="00514EBA">
        <w:rPr>
          <w:rFonts w:ascii="Garamond" w:hAnsi="Garamond"/>
          <w:sz w:val="24"/>
        </w:rPr>
        <w:t xml:space="preserve"> az árverési tételekről aukciós katalógust (Katalógus) ad ki, és az árverési tételek az árverés előtti kiállításon is megtekinthetők. A Katalógus önálló vétel tárgya lehet,</w:t>
      </w:r>
      <w:r w:rsidR="00994454" w:rsidRPr="00514EBA">
        <w:rPr>
          <w:rFonts w:ascii="Garamond" w:hAnsi="Garamond"/>
          <w:sz w:val="24"/>
        </w:rPr>
        <w:t xml:space="preserve"> </w:t>
      </w:r>
      <w:r w:rsidRPr="00514EBA">
        <w:rPr>
          <w:rFonts w:ascii="Garamond" w:hAnsi="Garamond"/>
          <w:sz w:val="24"/>
        </w:rPr>
        <w:t>de annak megvásárlása önmagában nem eredményez sem jogot sem kötelezettséget a Katalógus vevője számára az árverésen történő részvételre, licitálásra. A Katalógus leírásai és az illusztrációk kizárólag azonosításra szolgálnak. Az árverési tételek Katalógusban történő leírása szakértők szubjektív véleményén alapszik. A Katalógus az árverési tételek esetében csak azokra a hibákra és hiányosságokra hívja fel a figyelmet, amelyek jelentősen csökkenthetik az adott árverési tétel értékét.</w:t>
      </w:r>
      <w:r w:rsidR="0090474F" w:rsidRPr="00514EBA">
        <w:rPr>
          <w:rFonts w:ascii="Garamond" w:eastAsia="Times New Roman" w:hAnsi="Garamond" w:cs="Times New Roman"/>
          <w:sz w:val="24"/>
          <w:szCs w:val="24"/>
          <w:lang w:eastAsia="hu-HU"/>
        </w:rPr>
        <w:t xml:space="preserve"> </w:t>
      </w:r>
    </w:p>
    <w:p w14:paraId="16EDFF8B" w14:textId="68473F32"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w:t>
      </w:r>
      <w:r w:rsidR="00C2655F">
        <w:rPr>
          <w:rFonts w:ascii="Garamond" w:hAnsi="Garamond"/>
          <w:sz w:val="24"/>
        </w:rPr>
        <w:t>Aukciósház</w:t>
      </w:r>
      <w:r w:rsidRPr="00514EBA">
        <w:rPr>
          <w:rFonts w:ascii="Garamond" w:hAnsi="Garamond"/>
          <w:sz w:val="24"/>
        </w:rPr>
        <w:t xml:space="preserve"> fenntartja a jogot, hogy az árverést </w:t>
      </w:r>
      <w:proofErr w:type="spellStart"/>
      <w:r w:rsidRPr="00514EBA">
        <w:rPr>
          <w:rFonts w:ascii="Garamond" w:hAnsi="Garamond"/>
          <w:sz w:val="24"/>
        </w:rPr>
        <w:t>elhalassza</w:t>
      </w:r>
      <w:proofErr w:type="spellEnd"/>
      <w:r w:rsidRPr="00514EBA">
        <w:rPr>
          <w:rFonts w:ascii="Garamond" w:hAnsi="Garamond"/>
          <w:sz w:val="24"/>
        </w:rPr>
        <w:t xml:space="preserve">, vagy a Katalógusban szereplő egyes árverési tételek árverésre bocsátását visszavonja, a Katalógusban szereplő kikiáltási árakat, valamint leírásokat, illetve a licitre bocsátás sorrendjét módosítsa. Ezen esetekben az </w:t>
      </w:r>
      <w:r w:rsidR="00C2655F">
        <w:rPr>
          <w:rFonts w:ascii="Garamond" w:hAnsi="Garamond"/>
          <w:sz w:val="24"/>
        </w:rPr>
        <w:t>Aukciósház</w:t>
      </w:r>
      <w:r w:rsidRPr="00514EBA">
        <w:rPr>
          <w:rFonts w:ascii="Garamond" w:hAnsi="Garamond"/>
          <w:sz w:val="24"/>
        </w:rPr>
        <w:t>zal szemben kár- vagy másféle igény és követelés nem érvényesíthető.</w:t>
      </w:r>
    </w:p>
    <w:p w14:paraId="4371311E" w14:textId="40498710" w:rsidR="00D937F5" w:rsidRPr="00514EBA" w:rsidRDefault="005B542A" w:rsidP="00A648D0">
      <w:pPr>
        <w:pStyle w:val="Listaszerbekezds"/>
        <w:numPr>
          <w:ilvl w:val="0"/>
          <w:numId w:val="3"/>
        </w:numPr>
        <w:spacing w:before="240" w:after="240" w:line="240" w:lineRule="auto"/>
        <w:contextualSpacing w:val="0"/>
        <w:jc w:val="both"/>
        <w:rPr>
          <w:rFonts w:ascii="Garamond" w:hAnsi="Garamond"/>
          <w:b/>
          <w:sz w:val="24"/>
        </w:rPr>
      </w:pPr>
      <w:bookmarkStart w:id="2" w:name="content_arveresen_reszvetel"/>
      <w:r w:rsidRPr="00514EBA">
        <w:rPr>
          <w:rFonts w:ascii="Garamond" w:hAnsi="Garamond"/>
          <w:b/>
          <w:sz w:val="24"/>
        </w:rPr>
        <w:t>Az á</w:t>
      </w:r>
      <w:r w:rsidR="0089572D" w:rsidRPr="00514EBA">
        <w:rPr>
          <w:rFonts w:ascii="Garamond" w:hAnsi="Garamond"/>
          <w:b/>
          <w:sz w:val="24"/>
        </w:rPr>
        <w:t>rverésen való részvétel feltételei</w:t>
      </w:r>
      <w:bookmarkEnd w:id="2"/>
    </w:p>
    <w:p w14:paraId="68761986" w14:textId="3F971B23"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árverésen személyesen </w:t>
      </w:r>
      <w:r w:rsidR="00AE5500">
        <w:rPr>
          <w:rFonts w:ascii="Garamond" w:hAnsi="Garamond"/>
          <w:sz w:val="24"/>
        </w:rPr>
        <w:t xml:space="preserve">nem lehet </w:t>
      </w:r>
      <w:r w:rsidRPr="00514EBA">
        <w:rPr>
          <w:rFonts w:ascii="Garamond" w:hAnsi="Garamond"/>
          <w:sz w:val="24"/>
        </w:rPr>
        <w:t>részt venni</w:t>
      </w:r>
      <w:r w:rsidR="00AE5500">
        <w:rPr>
          <w:rFonts w:ascii="Garamond" w:hAnsi="Garamond"/>
          <w:sz w:val="24"/>
        </w:rPr>
        <w:t>,</w:t>
      </w:r>
      <w:r w:rsidRPr="00514EBA">
        <w:rPr>
          <w:rFonts w:ascii="Garamond" w:hAnsi="Garamond"/>
          <w:sz w:val="24"/>
        </w:rPr>
        <w:t xml:space="preserve"> kizárólag </w:t>
      </w:r>
      <w:r w:rsidR="00122DF1">
        <w:rPr>
          <w:rFonts w:ascii="Garamond" w:hAnsi="Garamond"/>
          <w:sz w:val="24"/>
        </w:rPr>
        <w:t>az axioart.com oldalon keresztül lehet licitálni.</w:t>
      </w:r>
    </w:p>
    <w:p w14:paraId="15BE0A6A" w14:textId="62F784BF"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3" w:name="content_arveres_folyamata"/>
      <w:r w:rsidRPr="00514EBA">
        <w:rPr>
          <w:rFonts w:ascii="Garamond" w:hAnsi="Garamond"/>
          <w:b/>
          <w:sz w:val="24"/>
        </w:rPr>
        <w:t>Az árverés folyamata</w:t>
      </w:r>
      <w:bookmarkEnd w:id="3"/>
    </w:p>
    <w:p w14:paraId="7BAFF2DB" w14:textId="28C25AEC" w:rsidR="00D11C69" w:rsidRPr="00514EBA" w:rsidRDefault="0089572D" w:rsidP="00D11C69">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Az első vételi ajánlatnak meg kell egyeznie az árverési tétel kikiáltási árával.</w:t>
      </w:r>
      <w:r w:rsidR="00D11C69" w:rsidRPr="00514EBA">
        <w:rPr>
          <w:rFonts w:ascii="Garamond" w:hAnsi="Garamond"/>
          <w:sz w:val="24"/>
        </w:rPr>
        <w:t xml:space="preserve"> A további vételi ajánlatok az alábbiakban részletezett licitlépcső szerint alakulhatnak:</w:t>
      </w:r>
    </w:p>
    <w:tbl>
      <w:tblPr>
        <w:tblW w:w="0" w:type="auto"/>
        <w:tblInd w:w="700" w:type="dxa"/>
        <w:tblLayout w:type="fixed"/>
        <w:tblCellMar>
          <w:left w:w="0" w:type="dxa"/>
          <w:right w:w="0" w:type="dxa"/>
        </w:tblCellMar>
        <w:tblLook w:val="0000" w:firstRow="0" w:lastRow="0" w:firstColumn="0" w:lastColumn="0" w:noHBand="0" w:noVBand="0"/>
      </w:tblPr>
      <w:tblGrid>
        <w:gridCol w:w="2545"/>
        <w:gridCol w:w="2520"/>
        <w:gridCol w:w="3240"/>
      </w:tblGrid>
      <w:tr w:rsidR="00FE4413" w:rsidRPr="00514EBA" w14:paraId="0045E61F" w14:textId="77777777" w:rsidTr="00626F10">
        <w:trPr>
          <w:trHeight w:val="151"/>
        </w:trPr>
        <w:tc>
          <w:tcPr>
            <w:tcW w:w="5065" w:type="dxa"/>
            <w:gridSpan w:val="2"/>
            <w:shd w:val="clear" w:color="auto" w:fill="auto"/>
          </w:tcPr>
          <w:p w14:paraId="62A441C6" w14:textId="7503D96D" w:rsidR="00FE4413" w:rsidRPr="00514EBA" w:rsidRDefault="00FE4413" w:rsidP="00FE4413">
            <w:pPr>
              <w:jc w:val="center"/>
              <w:rPr>
                <w:rFonts w:ascii="Garamond" w:hAnsi="Garamond" w:cs="Times New Roman"/>
              </w:rPr>
            </w:pPr>
            <w:r w:rsidRPr="00514EBA">
              <w:rPr>
                <w:rFonts w:ascii="Garamond" w:hAnsi="Garamond" w:cs="Times New Roman"/>
              </w:rPr>
              <w:t>Az utolsó árajánlat (Ft)</w:t>
            </w:r>
          </w:p>
        </w:tc>
        <w:tc>
          <w:tcPr>
            <w:tcW w:w="3240" w:type="dxa"/>
            <w:shd w:val="clear" w:color="auto" w:fill="auto"/>
          </w:tcPr>
          <w:p w14:paraId="527C2936" w14:textId="77777777" w:rsidR="00FE4413" w:rsidRPr="00514EBA" w:rsidRDefault="00FE4413" w:rsidP="00FE4413">
            <w:pPr>
              <w:jc w:val="center"/>
              <w:rPr>
                <w:rFonts w:ascii="Garamond" w:hAnsi="Garamond" w:cs="Times New Roman"/>
              </w:rPr>
            </w:pPr>
            <w:r w:rsidRPr="00514EBA">
              <w:rPr>
                <w:rFonts w:ascii="Garamond" w:hAnsi="Garamond" w:cs="Times New Roman"/>
              </w:rPr>
              <w:t>Emelkedés összege (Ft)</w:t>
            </w:r>
          </w:p>
        </w:tc>
      </w:tr>
      <w:tr w:rsidR="00D11C69" w:rsidRPr="00514EBA" w14:paraId="5F387A8E" w14:textId="77777777" w:rsidTr="00FE4413">
        <w:trPr>
          <w:trHeight w:val="160"/>
        </w:trPr>
        <w:tc>
          <w:tcPr>
            <w:tcW w:w="2545" w:type="dxa"/>
            <w:shd w:val="clear" w:color="auto" w:fill="auto"/>
          </w:tcPr>
          <w:p w14:paraId="1499DD26" w14:textId="77777777" w:rsidR="00D11C69" w:rsidRPr="00514EBA" w:rsidRDefault="00D11C69" w:rsidP="00FE4413">
            <w:pPr>
              <w:jc w:val="right"/>
              <w:rPr>
                <w:rFonts w:ascii="Garamond" w:hAnsi="Garamond" w:cs="Times New Roman"/>
              </w:rPr>
            </w:pPr>
            <w:r w:rsidRPr="00514EBA">
              <w:rPr>
                <w:rFonts w:ascii="Garamond" w:hAnsi="Garamond" w:cs="Times New Roman"/>
              </w:rPr>
              <w:t>1 000-tól</w:t>
            </w:r>
          </w:p>
        </w:tc>
        <w:tc>
          <w:tcPr>
            <w:tcW w:w="2520" w:type="dxa"/>
            <w:shd w:val="clear" w:color="auto" w:fill="auto"/>
          </w:tcPr>
          <w:p w14:paraId="6DC5C2E2" w14:textId="77777777" w:rsidR="00D11C69" w:rsidRPr="00514EBA" w:rsidRDefault="00D11C69" w:rsidP="00FE4413">
            <w:pPr>
              <w:jc w:val="right"/>
              <w:rPr>
                <w:rFonts w:ascii="Garamond" w:hAnsi="Garamond" w:cs="Times New Roman"/>
              </w:rPr>
            </w:pPr>
            <w:r w:rsidRPr="00514EBA">
              <w:rPr>
                <w:rFonts w:ascii="Garamond" w:hAnsi="Garamond" w:cs="Times New Roman"/>
              </w:rPr>
              <w:t>20 000-ig</w:t>
            </w:r>
          </w:p>
        </w:tc>
        <w:tc>
          <w:tcPr>
            <w:tcW w:w="3240" w:type="dxa"/>
            <w:shd w:val="clear" w:color="auto" w:fill="auto"/>
          </w:tcPr>
          <w:p w14:paraId="56D25CA1" w14:textId="77777777" w:rsidR="00D11C69" w:rsidRPr="00514EBA" w:rsidRDefault="00D11C69" w:rsidP="00FE4413">
            <w:pPr>
              <w:jc w:val="right"/>
              <w:rPr>
                <w:rFonts w:ascii="Garamond" w:hAnsi="Garamond" w:cs="Times New Roman"/>
              </w:rPr>
            </w:pPr>
            <w:r w:rsidRPr="00514EBA">
              <w:rPr>
                <w:rFonts w:ascii="Garamond" w:hAnsi="Garamond" w:cs="Times New Roman"/>
              </w:rPr>
              <w:t>1 000</w:t>
            </w:r>
          </w:p>
        </w:tc>
      </w:tr>
      <w:tr w:rsidR="00D11C69" w:rsidRPr="00514EBA" w14:paraId="60AECAE7" w14:textId="77777777" w:rsidTr="00FE4413">
        <w:trPr>
          <w:trHeight w:val="140"/>
        </w:trPr>
        <w:tc>
          <w:tcPr>
            <w:tcW w:w="2545" w:type="dxa"/>
            <w:shd w:val="clear" w:color="auto" w:fill="auto"/>
          </w:tcPr>
          <w:p w14:paraId="14C29346" w14:textId="77777777" w:rsidR="00D11C69" w:rsidRPr="00514EBA" w:rsidRDefault="00D11C69" w:rsidP="00FE4413">
            <w:pPr>
              <w:jc w:val="right"/>
              <w:rPr>
                <w:rFonts w:ascii="Garamond" w:hAnsi="Garamond" w:cs="Times New Roman"/>
              </w:rPr>
            </w:pPr>
            <w:r w:rsidRPr="00514EBA">
              <w:rPr>
                <w:rFonts w:ascii="Garamond" w:hAnsi="Garamond" w:cs="Times New Roman"/>
              </w:rPr>
              <w:lastRenderedPageBreak/>
              <w:t>20 000-tól</w:t>
            </w:r>
          </w:p>
        </w:tc>
        <w:tc>
          <w:tcPr>
            <w:tcW w:w="2520" w:type="dxa"/>
            <w:shd w:val="clear" w:color="auto" w:fill="auto"/>
          </w:tcPr>
          <w:p w14:paraId="0798974F" w14:textId="77777777" w:rsidR="00D11C69" w:rsidRPr="00514EBA" w:rsidRDefault="00D11C69" w:rsidP="00FE4413">
            <w:pPr>
              <w:jc w:val="right"/>
              <w:rPr>
                <w:rFonts w:ascii="Garamond" w:hAnsi="Garamond" w:cs="Times New Roman"/>
              </w:rPr>
            </w:pPr>
            <w:r w:rsidRPr="00514EBA">
              <w:rPr>
                <w:rFonts w:ascii="Garamond" w:hAnsi="Garamond" w:cs="Times New Roman"/>
              </w:rPr>
              <w:t>50 000-ig</w:t>
            </w:r>
          </w:p>
        </w:tc>
        <w:tc>
          <w:tcPr>
            <w:tcW w:w="3240" w:type="dxa"/>
            <w:shd w:val="clear" w:color="auto" w:fill="auto"/>
          </w:tcPr>
          <w:p w14:paraId="03F171FE" w14:textId="77777777" w:rsidR="00D11C69" w:rsidRPr="00514EBA" w:rsidRDefault="00D11C69" w:rsidP="00FE4413">
            <w:pPr>
              <w:jc w:val="right"/>
              <w:rPr>
                <w:rFonts w:ascii="Garamond" w:hAnsi="Garamond" w:cs="Times New Roman"/>
              </w:rPr>
            </w:pPr>
            <w:r w:rsidRPr="00514EBA">
              <w:rPr>
                <w:rFonts w:ascii="Garamond" w:hAnsi="Garamond" w:cs="Times New Roman"/>
              </w:rPr>
              <w:t>2 000</w:t>
            </w:r>
          </w:p>
        </w:tc>
      </w:tr>
      <w:tr w:rsidR="00D11C69" w:rsidRPr="00514EBA" w14:paraId="58085CAA" w14:textId="77777777" w:rsidTr="00FE4413">
        <w:trPr>
          <w:trHeight w:val="140"/>
        </w:trPr>
        <w:tc>
          <w:tcPr>
            <w:tcW w:w="2545" w:type="dxa"/>
            <w:shd w:val="clear" w:color="auto" w:fill="auto"/>
          </w:tcPr>
          <w:p w14:paraId="2CAAF183" w14:textId="77777777" w:rsidR="00D11C69" w:rsidRPr="00514EBA" w:rsidRDefault="00D11C69" w:rsidP="00FE4413">
            <w:pPr>
              <w:jc w:val="right"/>
              <w:rPr>
                <w:rFonts w:ascii="Garamond" w:hAnsi="Garamond" w:cs="Times New Roman"/>
              </w:rPr>
            </w:pPr>
            <w:r w:rsidRPr="00514EBA">
              <w:rPr>
                <w:rFonts w:ascii="Garamond" w:hAnsi="Garamond" w:cs="Times New Roman"/>
              </w:rPr>
              <w:t>50 000-tól</w:t>
            </w:r>
          </w:p>
        </w:tc>
        <w:tc>
          <w:tcPr>
            <w:tcW w:w="2520" w:type="dxa"/>
            <w:shd w:val="clear" w:color="auto" w:fill="auto"/>
          </w:tcPr>
          <w:p w14:paraId="34FFF027" w14:textId="77777777" w:rsidR="00D11C69" w:rsidRPr="00514EBA" w:rsidRDefault="00D11C69" w:rsidP="00FE4413">
            <w:pPr>
              <w:jc w:val="right"/>
              <w:rPr>
                <w:rFonts w:ascii="Garamond" w:hAnsi="Garamond" w:cs="Times New Roman"/>
              </w:rPr>
            </w:pPr>
            <w:r w:rsidRPr="00514EBA">
              <w:rPr>
                <w:rFonts w:ascii="Garamond" w:hAnsi="Garamond" w:cs="Times New Roman"/>
              </w:rPr>
              <w:t>100 000-ig</w:t>
            </w:r>
          </w:p>
        </w:tc>
        <w:tc>
          <w:tcPr>
            <w:tcW w:w="3240" w:type="dxa"/>
            <w:shd w:val="clear" w:color="auto" w:fill="auto"/>
          </w:tcPr>
          <w:p w14:paraId="59ACDF88" w14:textId="77777777" w:rsidR="00D11C69" w:rsidRPr="00514EBA" w:rsidRDefault="00D11C69" w:rsidP="00FE4413">
            <w:pPr>
              <w:jc w:val="right"/>
              <w:rPr>
                <w:rFonts w:ascii="Garamond" w:hAnsi="Garamond" w:cs="Times New Roman"/>
              </w:rPr>
            </w:pPr>
            <w:r w:rsidRPr="00514EBA">
              <w:rPr>
                <w:rFonts w:ascii="Garamond" w:hAnsi="Garamond" w:cs="Times New Roman"/>
              </w:rPr>
              <w:t>5 000</w:t>
            </w:r>
          </w:p>
        </w:tc>
      </w:tr>
      <w:tr w:rsidR="00D11C69" w:rsidRPr="00514EBA" w14:paraId="229008F2" w14:textId="77777777" w:rsidTr="00FE4413">
        <w:trPr>
          <w:trHeight w:val="140"/>
        </w:trPr>
        <w:tc>
          <w:tcPr>
            <w:tcW w:w="2545" w:type="dxa"/>
            <w:shd w:val="clear" w:color="auto" w:fill="auto"/>
          </w:tcPr>
          <w:p w14:paraId="53D7D40D" w14:textId="77777777" w:rsidR="00D11C69" w:rsidRPr="00514EBA" w:rsidRDefault="00D11C69" w:rsidP="00FE4413">
            <w:pPr>
              <w:jc w:val="right"/>
              <w:rPr>
                <w:rFonts w:ascii="Garamond" w:hAnsi="Garamond" w:cs="Times New Roman"/>
              </w:rPr>
            </w:pPr>
            <w:r w:rsidRPr="00514EBA">
              <w:rPr>
                <w:rFonts w:ascii="Garamond" w:hAnsi="Garamond" w:cs="Times New Roman"/>
              </w:rPr>
              <w:t>100 000-tól</w:t>
            </w:r>
          </w:p>
        </w:tc>
        <w:tc>
          <w:tcPr>
            <w:tcW w:w="2520" w:type="dxa"/>
            <w:shd w:val="clear" w:color="auto" w:fill="auto"/>
          </w:tcPr>
          <w:p w14:paraId="19EEDEF3" w14:textId="77777777" w:rsidR="00D11C69" w:rsidRPr="00514EBA" w:rsidRDefault="00D11C69" w:rsidP="00FE4413">
            <w:pPr>
              <w:jc w:val="right"/>
              <w:rPr>
                <w:rFonts w:ascii="Garamond" w:hAnsi="Garamond" w:cs="Times New Roman"/>
              </w:rPr>
            </w:pPr>
            <w:r w:rsidRPr="00514EBA">
              <w:rPr>
                <w:rFonts w:ascii="Garamond" w:hAnsi="Garamond" w:cs="Times New Roman"/>
              </w:rPr>
              <w:t>200 000-ig</w:t>
            </w:r>
          </w:p>
        </w:tc>
        <w:tc>
          <w:tcPr>
            <w:tcW w:w="3240" w:type="dxa"/>
            <w:shd w:val="clear" w:color="auto" w:fill="auto"/>
          </w:tcPr>
          <w:p w14:paraId="7BEBDD27" w14:textId="77777777" w:rsidR="00D11C69" w:rsidRPr="00514EBA" w:rsidRDefault="00D11C69" w:rsidP="00FE4413">
            <w:pPr>
              <w:jc w:val="right"/>
              <w:rPr>
                <w:rFonts w:ascii="Garamond" w:hAnsi="Garamond" w:cs="Times New Roman"/>
              </w:rPr>
            </w:pPr>
            <w:r w:rsidRPr="00514EBA">
              <w:rPr>
                <w:rFonts w:ascii="Garamond" w:hAnsi="Garamond" w:cs="Times New Roman"/>
              </w:rPr>
              <w:t>10 000</w:t>
            </w:r>
          </w:p>
        </w:tc>
      </w:tr>
      <w:tr w:rsidR="00D11C69" w:rsidRPr="00514EBA" w14:paraId="2B46D42B" w14:textId="77777777" w:rsidTr="00FE4413">
        <w:trPr>
          <w:trHeight w:val="140"/>
        </w:trPr>
        <w:tc>
          <w:tcPr>
            <w:tcW w:w="2545" w:type="dxa"/>
            <w:shd w:val="clear" w:color="auto" w:fill="auto"/>
          </w:tcPr>
          <w:p w14:paraId="0AB3F56C" w14:textId="77777777" w:rsidR="00D11C69" w:rsidRPr="00514EBA" w:rsidRDefault="00D11C69" w:rsidP="00FE4413">
            <w:pPr>
              <w:jc w:val="right"/>
              <w:rPr>
                <w:rFonts w:ascii="Garamond" w:hAnsi="Garamond" w:cs="Times New Roman"/>
              </w:rPr>
            </w:pPr>
            <w:r w:rsidRPr="00514EBA">
              <w:rPr>
                <w:rFonts w:ascii="Garamond" w:hAnsi="Garamond" w:cs="Times New Roman"/>
              </w:rPr>
              <w:t>200 000-tól</w:t>
            </w:r>
          </w:p>
        </w:tc>
        <w:tc>
          <w:tcPr>
            <w:tcW w:w="2520" w:type="dxa"/>
            <w:shd w:val="clear" w:color="auto" w:fill="auto"/>
          </w:tcPr>
          <w:p w14:paraId="34DAEAFB" w14:textId="77777777" w:rsidR="00D11C69" w:rsidRPr="00514EBA" w:rsidRDefault="00D11C69" w:rsidP="00FE4413">
            <w:pPr>
              <w:jc w:val="right"/>
              <w:rPr>
                <w:rFonts w:ascii="Garamond" w:hAnsi="Garamond" w:cs="Times New Roman"/>
              </w:rPr>
            </w:pPr>
            <w:r w:rsidRPr="00514EBA">
              <w:rPr>
                <w:rFonts w:ascii="Garamond" w:hAnsi="Garamond" w:cs="Times New Roman"/>
              </w:rPr>
              <w:t>500 000-ig</w:t>
            </w:r>
          </w:p>
        </w:tc>
        <w:tc>
          <w:tcPr>
            <w:tcW w:w="3240" w:type="dxa"/>
            <w:shd w:val="clear" w:color="auto" w:fill="auto"/>
          </w:tcPr>
          <w:p w14:paraId="4D75623E" w14:textId="77777777" w:rsidR="00D11C69" w:rsidRPr="00514EBA" w:rsidRDefault="00D11C69" w:rsidP="00FE4413">
            <w:pPr>
              <w:jc w:val="right"/>
              <w:rPr>
                <w:rFonts w:ascii="Garamond" w:hAnsi="Garamond" w:cs="Times New Roman"/>
              </w:rPr>
            </w:pPr>
            <w:r w:rsidRPr="00514EBA">
              <w:rPr>
                <w:rFonts w:ascii="Garamond" w:hAnsi="Garamond" w:cs="Times New Roman"/>
              </w:rPr>
              <w:t>20 000</w:t>
            </w:r>
          </w:p>
        </w:tc>
      </w:tr>
      <w:tr w:rsidR="00D11C69" w:rsidRPr="00514EBA" w14:paraId="26A1F401" w14:textId="77777777" w:rsidTr="00FE4413">
        <w:trPr>
          <w:trHeight w:val="140"/>
        </w:trPr>
        <w:tc>
          <w:tcPr>
            <w:tcW w:w="2545" w:type="dxa"/>
            <w:shd w:val="clear" w:color="auto" w:fill="auto"/>
          </w:tcPr>
          <w:p w14:paraId="574641D2" w14:textId="77777777" w:rsidR="00D11C69" w:rsidRPr="00514EBA" w:rsidRDefault="00D11C69" w:rsidP="00FE4413">
            <w:pPr>
              <w:jc w:val="right"/>
              <w:rPr>
                <w:rFonts w:ascii="Garamond" w:hAnsi="Garamond" w:cs="Times New Roman"/>
              </w:rPr>
            </w:pPr>
            <w:r w:rsidRPr="00514EBA">
              <w:rPr>
                <w:rFonts w:ascii="Garamond" w:hAnsi="Garamond" w:cs="Times New Roman"/>
              </w:rPr>
              <w:t>500 000-tól</w:t>
            </w:r>
          </w:p>
        </w:tc>
        <w:tc>
          <w:tcPr>
            <w:tcW w:w="2520" w:type="dxa"/>
            <w:shd w:val="clear" w:color="auto" w:fill="auto"/>
          </w:tcPr>
          <w:p w14:paraId="3D580B14" w14:textId="77777777" w:rsidR="00D11C69" w:rsidRPr="00514EBA" w:rsidRDefault="00D11C69" w:rsidP="00FE4413">
            <w:pPr>
              <w:jc w:val="right"/>
              <w:rPr>
                <w:rFonts w:ascii="Garamond" w:hAnsi="Garamond" w:cs="Times New Roman"/>
              </w:rPr>
            </w:pPr>
            <w:r w:rsidRPr="00514EBA">
              <w:rPr>
                <w:rFonts w:ascii="Garamond" w:hAnsi="Garamond" w:cs="Times New Roman"/>
              </w:rPr>
              <w:t>1 000 000-ig</w:t>
            </w:r>
          </w:p>
        </w:tc>
        <w:tc>
          <w:tcPr>
            <w:tcW w:w="3240" w:type="dxa"/>
            <w:shd w:val="clear" w:color="auto" w:fill="auto"/>
          </w:tcPr>
          <w:p w14:paraId="75ADC66B" w14:textId="77777777" w:rsidR="00D11C69" w:rsidRPr="00514EBA" w:rsidRDefault="00D11C69" w:rsidP="00FE4413">
            <w:pPr>
              <w:jc w:val="right"/>
              <w:rPr>
                <w:rFonts w:ascii="Garamond" w:hAnsi="Garamond" w:cs="Times New Roman"/>
              </w:rPr>
            </w:pPr>
            <w:r w:rsidRPr="00514EBA">
              <w:rPr>
                <w:rFonts w:ascii="Garamond" w:hAnsi="Garamond" w:cs="Times New Roman"/>
              </w:rPr>
              <w:t>50 000</w:t>
            </w:r>
          </w:p>
        </w:tc>
      </w:tr>
      <w:tr w:rsidR="00D11C69" w:rsidRPr="00514EBA" w14:paraId="7FADCC7C" w14:textId="77777777" w:rsidTr="00FE4413">
        <w:trPr>
          <w:trHeight w:val="140"/>
        </w:trPr>
        <w:tc>
          <w:tcPr>
            <w:tcW w:w="2545" w:type="dxa"/>
            <w:shd w:val="clear" w:color="auto" w:fill="auto"/>
          </w:tcPr>
          <w:p w14:paraId="2E1A8B07" w14:textId="77777777" w:rsidR="00D11C69" w:rsidRPr="00514EBA" w:rsidRDefault="00D11C69" w:rsidP="00FE4413">
            <w:pPr>
              <w:jc w:val="right"/>
              <w:rPr>
                <w:rFonts w:ascii="Garamond" w:hAnsi="Garamond" w:cs="Times New Roman"/>
              </w:rPr>
            </w:pPr>
            <w:r w:rsidRPr="00514EBA">
              <w:rPr>
                <w:rFonts w:ascii="Garamond" w:hAnsi="Garamond" w:cs="Times New Roman"/>
              </w:rPr>
              <w:t>1 000 000-tól</w:t>
            </w:r>
          </w:p>
        </w:tc>
        <w:tc>
          <w:tcPr>
            <w:tcW w:w="2520" w:type="dxa"/>
            <w:shd w:val="clear" w:color="auto" w:fill="auto"/>
          </w:tcPr>
          <w:p w14:paraId="4B545C04" w14:textId="77777777" w:rsidR="00D11C69" w:rsidRPr="00514EBA" w:rsidRDefault="00D11C69" w:rsidP="00FE4413">
            <w:pPr>
              <w:jc w:val="right"/>
              <w:rPr>
                <w:rFonts w:ascii="Garamond" w:hAnsi="Garamond" w:cs="Times New Roman"/>
              </w:rPr>
            </w:pPr>
            <w:r w:rsidRPr="00514EBA">
              <w:rPr>
                <w:rFonts w:ascii="Garamond" w:hAnsi="Garamond" w:cs="Times New Roman"/>
              </w:rPr>
              <w:t>2 000 000-ig</w:t>
            </w:r>
          </w:p>
        </w:tc>
        <w:tc>
          <w:tcPr>
            <w:tcW w:w="3240" w:type="dxa"/>
            <w:shd w:val="clear" w:color="auto" w:fill="auto"/>
          </w:tcPr>
          <w:p w14:paraId="7E5AE270" w14:textId="77777777" w:rsidR="00D11C69" w:rsidRPr="00514EBA" w:rsidRDefault="00D11C69" w:rsidP="00FE4413">
            <w:pPr>
              <w:jc w:val="right"/>
              <w:rPr>
                <w:rFonts w:ascii="Garamond" w:hAnsi="Garamond" w:cs="Times New Roman"/>
              </w:rPr>
            </w:pPr>
            <w:r w:rsidRPr="00514EBA">
              <w:rPr>
                <w:rFonts w:ascii="Garamond" w:hAnsi="Garamond" w:cs="Times New Roman"/>
              </w:rPr>
              <w:t>100 000</w:t>
            </w:r>
          </w:p>
        </w:tc>
      </w:tr>
      <w:tr w:rsidR="00D11C69" w:rsidRPr="00514EBA" w14:paraId="327F2567" w14:textId="77777777" w:rsidTr="00FE4413">
        <w:trPr>
          <w:trHeight w:val="140"/>
        </w:trPr>
        <w:tc>
          <w:tcPr>
            <w:tcW w:w="2545" w:type="dxa"/>
            <w:shd w:val="clear" w:color="auto" w:fill="auto"/>
          </w:tcPr>
          <w:p w14:paraId="498A9D2B" w14:textId="77777777" w:rsidR="00D11C69" w:rsidRPr="00514EBA" w:rsidRDefault="00D11C69" w:rsidP="00FE4413">
            <w:pPr>
              <w:jc w:val="right"/>
              <w:rPr>
                <w:rFonts w:ascii="Garamond" w:hAnsi="Garamond" w:cs="Times New Roman"/>
              </w:rPr>
            </w:pPr>
            <w:r w:rsidRPr="00514EBA">
              <w:rPr>
                <w:rFonts w:ascii="Garamond" w:hAnsi="Garamond" w:cs="Times New Roman"/>
              </w:rPr>
              <w:t>2 000 000-tól</w:t>
            </w:r>
          </w:p>
        </w:tc>
        <w:tc>
          <w:tcPr>
            <w:tcW w:w="2520" w:type="dxa"/>
            <w:shd w:val="clear" w:color="auto" w:fill="auto"/>
          </w:tcPr>
          <w:p w14:paraId="65BC58A7" w14:textId="77777777" w:rsidR="00D11C69" w:rsidRPr="00514EBA" w:rsidRDefault="00D11C69" w:rsidP="00FE4413">
            <w:pPr>
              <w:jc w:val="right"/>
              <w:rPr>
                <w:rFonts w:ascii="Garamond" w:hAnsi="Garamond" w:cs="Times New Roman"/>
              </w:rPr>
            </w:pPr>
            <w:r w:rsidRPr="00514EBA">
              <w:rPr>
                <w:rFonts w:ascii="Garamond" w:hAnsi="Garamond" w:cs="Times New Roman"/>
              </w:rPr>
              <w:t>5 000 000-ig</w:t>
            </w:r>
          </w:p>
        </w:tc>
        <w:tc>
          <w:tcPr>
            <w:tcW w:w="3240" w:type="dxa"/>
            <w:shd w:val="clear" w:color="auto" w:fill="auto"/>
          </w:tcPr>
          <w:p w14:paraId="05A1FD4D" w14:textId="77777777" w:rsidR="00D11C69" w:rsidRPr="00514EBA" w:rsidRDefault="00D11C69" w:rsidP="00FE4413">
            <w:pPr>
              <w:jc w:val="right"/>
              <w:rPr>
                <w:rFonts w:ascii="Garamond" w:hAnsi="Garamond" w:cs="Times New Roman"/>
              </w:rPr>
            </w:pPr>
            <w:r w:rsidRPr="00514EBA">
              <w:rPr>
                <w:rFonts w:ascii="Garamond" w:hAnsi="Garamond" w:cs="Times New Roman"/>
              </w:rPr>
              <w:t>200 000</w:t>
            </w:r>
          </w:p>
        </w:tc>
      </w:tr>
      <w:tr w:rsidR="00D11C69" w:rsidRPr="00514EBA" w14:paraId="75AF306A" w14:textId="77777777" w:rsidTr="00FE4413">
        <w:trPr>
          <w:trHeight w:val="140"/>
        </w:trPr>
        <w:tc>
          <w:tcPr>
            <w:tcW w:w="2545" w:type="dxa"/>
            <w:shd w:val="clear" w:color="auto" w:fill="auto"/>
          </w:tcPr>
          <w:p w14:paraId="52CA9D42" w14:textId="77777777" w:rsidR="00D11C69" w:rsidRPr="00514EBA" w:rsidRDefault="00D11C69" w:rsidP="00FE4413">
            <w:pPr>
              <w:jc w:val="right"/>
              <w:rPr>
                <w:rFonts w:ascii="Garamond" w:hAnsi="Garamond" w:cs="Times New Roman"/>
              </w:rPr>
            </w:pPr>
            <w:r w:rsidRPr="00514EBA">
              <w:rPr>
                <w:rFonts w:ascii="Garamond" w:hAnsi="Garamond" w:cs="Times New Roman"/>
              </w:rPr>
              <w:t>5 000 000-tól</w:t>
            </w:r>
          </w:p>
        </w:tc>
        <w:tc>
          <w:tcPr>
            <w:tcW w:w="2520" w:type="dxa"/>
            <w:shd w:val="clear" w:color="auto" w:fill="auto"/>
          </w:tcPr>
          <w:p w14:paraId="41FFD9B3" w14:textId="77777777" w:rsidR="00D11C69" w:rsidRPr="00514EBA" w:rsidRDefault="00D11C69" w:rsidP="00FE4413">
            <w:pPr>
              <w:jc w:val="right"/>
              <w:rPr>
                <w:rFonts w:ascii="Garamond" w:hAnsi="Garamond" w:cs="Times New Roman"/>
              </w:rPr>
            </w:pPr>
            <w:r w:rsidRPr="00514EBA">
              <w:rPr>
                <w:rFonts w:ascii="Garamond" w:hAnsi="Garamond" w:cs="Times New Roman"/>
              </w:rPr>
              <w:t>10 000 000-ig</w:t>
            </w:r>
          </w:p>
        </w:tc>
        <w:tc>
          <w:tcPr>
            <w:tcW w:w="3240" w:type="dxa"/>
            <w:shd w:val="clear" w:color="auto" w:fill="auto"/>
          </w:tcPr>
          <w:p w14:paraId="0F4F7103" w14:textId="77777777" w:rsidR="00D11C69" w:rsidRPr="00514EBA" w:rsidRDefault="00D11C69" w:rsidP="00FE4413">
            <w:pPr>
              <w:jc w:val="right"/>
              <w:rPr>
                <w:rFonts w:ascii="Garamond" w:hAnsi="Garamond" w:cs="Times New Roman"/>
              </w:rPr>
            </w:pPr>
            <w:r w:rsidRPr="00514EBA">
              <w:rPr>
                <w:rFonts w:ascii="Garamond" w:hAnsi="Garamond" w:cs="Times New Roman"/>
              </w:rPr>
              <w:t>500 000</w:t>
            </w:r>
          </w:p>
        </w:tc>
      </w:tr>
      <w:tr w:rsidR="00DD6075" w:rsidRPr="00514EBA" w14:paraId="4B30ED41" w14:textId="77777777" w:rsidTr="00FE4413">
        <w:trPr>
          <w:trHeight w:val="152"/>
        </w:trPr>
        <w:tc>
          <w:tcPr>
            <w:tcW w:w="2545" w:type="dxa"/>
            <w:shd w:val="clear" w:color="auto" w:fill="auto"/>
          </w:tcPr>
          <w:p w14:paraId="219832A8" w14:textId="62A02A1C" w:rsidR="00DD6075" w:rsidRPr="00514EBA" w:rsidRDefault="00DD6075" w:rsidP="00FE4413">
            <w:pPr>
              <w:jc w:val="right"/>
              <w:rPr>
                <w:rFonts w:ascii="Garamond" w:hAnsi="Garamond" w:cs="Times New Roman"/>
              </w:rPr>
            </w:pPr>
            <w:r w:rsidRPr="00514EBA">
              <w:rPr>
                <w:rFonts w:ascii="Garamond" w:hAnsi="Garamond" w:cs="Times New Roman"/>
              </w:rPr>
              <w:t>10 000</w:t>
            </w:r>
            <w:r>
              <w:rPr>
                <w:rFonts w:ascii="Garamond" w:hAnsi="Garamond" w:cs="Times New Roman"/>
              </w:rPr>
              <w:t> </w:t>
            </w:r>
            <w:r w:rsidRPr="00514EBA">
              <w:rPr>
                <w:rFonts w:ascii="Garamond" w:hAnsi="Garamond" w:cs="Times New Roman"/>
              </w:rPr>
              <w:t>000</w:t>
            </w:r>
            <w:r>
              <w:rPr>
                <w:rFonts w:ascii="Garamond" w:hAnsi="Garamond" w:cs="Times New Roman"/>
              </w:rPr>
              <w:t>-tól</w:t>
            </w:r>
          </w:p>
        </w:tc>
        <w:tc>
          <w:tcPr>
            <w:tcW w:w="2520" w:type="dxa"/>
            <w:shd w:val="clear" w:color="auto" w:fill="auto"/>
          </w:tcPr>
          <w:p w14:paraId="66DC25B4" w14:textId="23790B6F" w:rsidR="00DD6075" w:rsidRPr="00514EBA" w:rsidRDefault="00DD6075" w:rsidP="00FE4413">
            <w:pPr>
              <w:jc w:val="right"/>
              <w:rPr>
                <w:rFonts w:ascii="Garamond" w:hAnsi="Garamond" w:cs="Times New Roman"/>
              </w:rPr>
            </w:pPr>
            <w:r>
              <w:rPr>
                <w:rFonts w:ascii="Garamond" w:hAnsi="Garamond" w:cs="Times New Roman"/>
              </w:rPr>
              <w:t>20 000 000-ig</w:t>
            </w:r>
          </w:p>
        </w:tc>
        <w:tc>
          <w:tcPr>
            <w:tcW w:w="3240" w:type="dxa"/>
            <w:shd w:val="clear" w:color="auto" w:fill="auto"/>
          </w:tcPr>
          <w:p w14:paraId="269F5FF4" w14:textId="55D4D133" w:rsidR="00DD6075" w:rsidRPr="00514EBA" w:rsidRDefault="00DD6075" w:rsidP="00FE4413">
            <w:pPr>
              <w:jc w:val="right"/>
              <w:rPr>
                <w:rFonts w:ascii="Garamond" w:hAnsi="Garamond" w:cs="Times New Roman"/>
              </w:rPr>
            </w:pPr>
            <w:r>
              <w:rPr>
                <w:rFonts w:ascii="Garamond" w:hAnsi="Garamond" w:cs="Times New Roman"/>
              </w:rPr>
              <w:t>1 000 000</w:t>
            </w:r>
          </w:p>
        </w:tc>
      </w:tr>
      <w:tr w:rsidR="00DD6075" w:rsidRPr="00514EBA" w14:paraId="78E671AA" w14:textId="77777777" w:rsidTr="00FE4413">
        <w:trPr>
          <w:trHeight w:val="152"/>
        </w:trPr>
        <w:tc>
          <w:tcPr>
            <w:tcW w:w="2545" w:type="dxa"/>
            <w:shd w:val="clear" w:color="auto" w:fill="auto"/>
          </w:tcPr>
          <w:p w14:paraId="5FD328D8" w14:textId="4E9DD35F" w:rsidR="00DD6075" w:rsidRPr="00514EBA" w:rsidRDefault="00DD6075" w:rsidP="00FE4413">
            <w:pPr>
              <w:jc w:val="right"/>
              <w:rPr>
                <w:rFonts w:ascii="Garamond" w:hAnsi="Garamond" w:cs="Times New Roman"/>
              </w:rPr>
            </w:pPr>
            <w:r>
              <w:rPr>
                <w:rFonts w:ascii="Garamond" w:hAnsi="Garamond" w:cs="Times New Roman"/>
              </w:rPr>
              <w:t>2</w:t>
            </w:r>
            <w:r w:rsidRPr="00514EBA">
              <w:rPr>
                <w:rFonts w:ascii="Garamond" w:hAnsi="Garamond" w:cs="Times New Roman"/>
              </w:rPr>
              <w:t>0 000</w:t>
            </w:r>
            <w:r>
              <w:rPr>
                <w:rFonts w:ascii="Garamond" w:hAnsi="Garamond" w:cs="Times New Roman"/>
              </w:rPr>
              <w:t> </w:t>
            </w:r>
            <w:r w:rsidRPr="00514EBA">
              <w:rPr>
                <w:rFonts w:ascii="Garamond" w:hAnsi="Garamond" w:cs="Times New Roman"/>
              </w:rPr>
              <w:t>000</w:t>
            </w:r>
            <w:r>
              <w:rPr>
                <w:rFonts w:ascii="Garamond" w:hAnsi="Garamond" w:cs="Times New Roman"/>
              </w:rPr>
              <w:t>-tól</w:t>
            </w:r>
          </w:p>
        </w:tc>
        <w:tc>
          <w:tcPr>
            <w:tcW w:w="2520" w:type="dxa"/>
            <w:shd w:val="clear" w:color="auto" w:fill="auto"/>
          </w:tcPr>
          <w:p w14:paraId="42D2C494" w14:textId="24853BC4" w:rsidR="00DD6075" w:rsidRPr="00514EBA" w:rsidRDefault="00DD6075" w:rsidP="00FE4413">
            <w:pPr>
              <w:jc w:val="right"/>
              <w:rPr>
                <w:rFonts w:ascii="Garamond" w:hAnsi="Garamond" w:cs="Times New Roman"/>
              </w:rPr>
            </w:pPr>
            <w:r>
              <w:rPr>
                <w:rFonts w:ascii="Garamond" w:hAnsi="Garamond" w:cs="Times New Roman"/>
              </w:rPr>
              <w:t>50 000 000-ig</w:t>
            </w:r>
          </w:p>
        </w:tc>
        <w:tc>
          <w:tcPr>
            <w:tcW w:w="3240" w:type="dxa"/>
            <w:shd w:val="clear" w:color="auto" w:fill="auto"/>
          </w:tcPr>
          <w:p w14:paraId="2ACC4100" w14:textId="6C9792F9" w:rsidR="00DD6075" w:rsidRPr="00514EBA" w:rsidRDefault="00DD6075" w:rsidP="00FE4413">
            <w:pPr>
              <w:jc w:val="right"/>
              <w:rPr>
                <w:rFonts w:ascii="Garamond" w:hAnsi="Garamond" w:cs="Times New Roman"/>
              </w:rPr>
            </w:pPr>
            <w:r>
              <w:rPr>
                <w:rFonts w:ascii="Garamond" w:hAnsi="Garamond" w:cs="Times New Roman"/>
              </w:rPr>
              <w:t>2 000 000</w:t>
            </w:r>
          </w:p>
        </w:tc>
      </w:tr>
      <w:tr w:rsidR="00DD6075" w:rsidRPr="00514EBA" w14:paraId="6E596994" w14:textId="77777777" w:rsidTr="00FE4413">
        <w:trPr>
          <w:trHeight w:val="152"/>
        </w:trPr>
        <w:tc>
          <w:tcPr>
            <w:tcW w:w="2545" w:type="dxa"/>
            <w:shd w:val="clear" w:color="auto" w:fill="auto"/>
          </w:tcPr>
          <w:p w14:paraId="5CE158C7" w14:textId="49F49777" w:rsidR="00DD6075" w:rsidRPr="00514EBA" w:rsidRDefault="00DD6075" w:rsidP="00FE4413">
            <w:pPr>
              <w:jc w:val="right"/>
              <w:rPr>
                <w:rFonts w:ascii="Garamond" w:hAnsi="Garamond" w:cs="Times New Roman"/>
              </w:rPr>
            </w:pPr>
            <w:r>
              <w:rPr>
                <w:rFonts w:ascii="Garamond" w:hAnsi="Garamond" w:cs="Times New Roman"/>
              </w:rPr>
              <w:t>5</w:t>
            </w:r>
            <w:r w:rsidRPr="00514EBA">
              <w:rPr>
                <w:rFonts w:ascii="Garamond" w:hAnsi="Garamond" w:cs="Times New Roman"/>
              </w:rPr>
              <w:t>0 000</w:t>
            </w:r>
            <w:r>
              <w:rPr>
                <w:rFonts w:ascii="Garamond" w:hAnsi="Garamond" w:cs="Times New Roman"/>
              </w:rPr>
              <w:t> </w:t>
            </w:r>
            <w:r w:rsidRPr="00514EBA">
              <w:rPr>
                <w:rFonts w:ascii="Garamond" w:hAnsi="Garamond" w:cs="Times New Roman"/>
              </w:rPr>
              <w:t>000</w:t>
            </w:r>
            <w:r>
              <w:rPr>
                <w:rFonts w:ascii="Garamond" w:hAnsi="Garamond" w:cs="Times New Roman"/>
              </w:rPr>
              <w:t>-tól</w:t>
            </w:r>
          </w:p>
        </w:tc>
        <w:tc>
          <w:tcPr>
            <w:tcW w:w="2520" w:type="dxa"/>
            <w:shd w:val="clear" w:color="auto" w:fill="auto"/>
          </w:tcPr>
          <w:p w14:paraId="4C17B750" w14:textId="4F4A7681" w:rsidR="00DD6075" w:rsidRPr="00514EBA" w:rsidRDefault="00DD6075" w:rsidP="00FE4413">
            <w:pPr>
              <w:jc w:val="right"/>
              <w:rPr>
                <w:rFonts w:ascii="Garamond" w:hAnsi="Garamond" w:cs="Times New Roman"/>
              </w:rPr>
            </w:pPr>
            <w:r>
              <w:rPr>
                <w:rFonts w:ascii="Garamond" w:hAnsi="Garamond" w:cs="Times New Roman"/>
              </w:rPr>
              <w:t>100 000 000-ig</w:t>
            </w:r>
          </w:p>
        </w:tc>
        <w:tc>
          <w:tcPr>
            <w:tcW w:w="3240" w:type="dxa"/>
            <w:shd w:val="clear" w:color="auto" w:fill="auto"/>
          </w:tcPr>
          <w:p w14:paraId="44E05CEA" w14:textId="0C975174" w:rsidR="00DD6075" w:rsidRPr="00514EBA" w:rsidRDefault="00DD6075" w:rsidP="00FE4413">
            <w:pPr>
              <w:jc w:val="right"/>
              <w:rPr>
                <w:rFonts w:ascii="Garamond" w:hAnsi="Garamond" w:cs="Times New Roman"/>
              </w:rPr>
            </w:pPr>
            <w:r>
              <w:rPr>
                <w:rFonts w:ascii="Garamond" w:hAnsi="Garamond" w:cs="Times New Roman"/>
              </w:rPr>
              <w:t>5 000 000</w:t>
            </w:r>
          </w:p>
        </w:tc>
      </w:tr>
      <w:tr w:rsidR="00DD6075" w:rsidRPr="00514EBA" w14:paraId="7EA8C408" w14:textId="77777777" w:rsidTr="007A2DAB">
        <w:trPr>
          <w:trHeight w:val="152"/>
        </w:trPr>
        <w:tc>
          <w:tcPr>
            <w:tcW w:w="2545" w:type="dxa"/>
            <w:shd w:val="clear" w:color="auto" w:fill="auto"/>
          </w:tcPr>
          <w:p w14:paraId="487BFBE9" w14:textId="739D22AC" w:rsidR="00DD6075" w:rsidRPr="00514EBA" w:rsidRDefault="00DD6075" w:rsidP="007A2DAB">
            <w:pPr>
              <w:jc w:val="right"/>
              <w:rPr>
                <w:rFonts w:ascii="Garamond" w:hAnsi="Garamond" w:cs="Times New Roman"/>
              </w:rPr>
            </w:pPr>
            <w:r>
              <w:rPr>
                <w:rFonts w:ascii="Garamond" w:hAnsi="Garamond" w:cs="Times New Roman"/>
              </w:rPr>
              <w:t>10</w:t>
            </w:r>
            <w:r w:rsidRPr="00514EBA">
              <w:rPr>
                <w:rFonts w:ascii="Garamond" w:hAnsi="Garamond" w:cs="Times New Roman"/>
              </w:rPr>
              <w:t>0 000</w:t>
            </w:r>
            <w:r>
              <w:rPr>
                <w:rFonts w:ascii="Garamond" w:hAnsi="Garamond" w:cs="Times New Roman"/>
              </w:rPr>
              <w:t> </w:t>
            </w:r>
            <w:r w:rsidRPr="00514EBA">
              <w:rPr>
                <w:rFonts w:ascii="Garamond" w:hAnsi="Garamond" w:cs="Times New Roman"/>
              </w:rPr>
              <w:t>000</w:t>
            </w:r>
            <w:r>
              <w:rPr>
                <w:rFonts w:ascii="Garamond" w:hAnsi="Garamond" w:cs="Times New Roman"/>
              </w:rPr>
              <w:t>-tól</w:t>
            </w:r>
          </w:p>
        </w:tc>
        <w:tc>
          <w:tcPr>
            <w:tcW w:w="2520" w:type="dxa"/>
            <w:shd w:val="clear" w:color="auto" w:fill="auto"/>
          </w:tcPr>
          <w:p w14:paraId="577BFDE6" w14:textId="7EB94EB6" w:rsidR="00DD6075" w:rsidRPr="00514EBA" w:rsidRDefault="00DD6075" w:rsidP="007A2DAB">
            <w:pPr>
              <w:jc w:val="right"/>
              <w:rPr>
                <w:rFonts w:ascii="Garamond" w:hAnsi="Garamond" w:cs="Times New Roman"/>
              </w:rPr>
            </w:pPr>
            <w:r>
              <w:rPr>
                <w:rFonts w:ascii="Garamond" w:hAnsi="Garamond" w:cs="Times New Roman"/>
              </w:rPr>
              <w:t>200 000 000-ig</w:t>
            </w:r>
          </w:p>
        </w:tc>
        <w:tc>
          <w:tcPr>
            <w:tcW w:w="3240" w:type="dxa"/>
            <w:shd w:val="clear" w:color="auto" w:fill="auto"/>
          </w:tcPr>
          <w:p w14:paraId="4AC83BBE" w14:textId="5251EB4C" w:rsidR="00DD6075" w:rsidRPr="00514EBA" w:rsidRDefault="00DD6075" w:rsidP="007A2DAB">
            <w:pPr>
              <w:jc w:val="right"/>
              <w:rPr>
                <w:rFonts w:ascii="Garamond" w:hAnsi="Garamond" w:cs="Times New Roman"/>
              </w:rPr>
            </w:pPr>
            <w:r>
              <w:rPr>
                <w:rFonts w:ascii="Garamond" w:hAnsi="Garamond" w:cs="Times New Roman"/>
              </w:rPr>
              <w:t>10 000 000</w:t>
            </w:r>
          </w:p>
        </w:tc>
      </w:tr>
    </w:tbl>
    <w:p w14:paraId="7734342B" w14:textId="77777777" w:rsidR="00D11C69" w:rsidRPr="00514EBA" w:rsidRDefault="00D11C69" w:rsidP="00D11C69">
      <w:pPr>
        <w:tabs>
          <w:tab w:val="left" w:pos="960"/>
        </w:tabs>
        <w:ind w:left="980" w:right="20" w:hanging="283"/>
        <w:jc w:val="both"/>
        <w:rPr>
          <w:rFonts w:ascii="Times New Roman" w:eastAsia="Gill Sans MT" w:hAnsi="Times New Roman" w:cs="Times New Roman"/>
          <w:sz w:val="18"/>
          <w:szCs w:val="18"/>
        </w:rPr>
      </w:pPr>
    </w:p>
    <w:p w14:paraId="39CB7E72" w14:textId="21D6AFB7"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Tilos minden olyan magatartás, amely az árverés, a licitálás, illetve a </w:t>
      </w:r>
      <w:r w:rsidR="00B378CB" w:rsidRPr="00514EBA">
        <w:rPr>
          <w:rFonts w:ascii="Garamond" w:hAnsi="Garamond"/>
          <w:sz w:val="24"/>
        </w:rPr>
        <w:t xml:space="preserve">Leütési </w:t>
      </w:r>
      <w:r w:rsidRPr="00514EBA">
        <w:rPr>
          <w:rFonts w:ascii="Garamond" w:hAnsi="Garamond"/>
          <w:sz w:val="24"/>
        </w:rPr>
        <w:t xml:space="preserve">ár csalárd módon történő befolyásolására, vagy az Árverési feltételek kijátszására irányul. Az árverésvezető a tilos magatartást tanúsító Árverési vevőket az árverésből kizárhatja. </w:t>
      </w:r>
    </w:p>
    <w:p w14:paraId="4EBEA73E" w14:textId="472F22A7"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Olyan Árverési vevő, aki előző alkalommal a legmagasabb (leütött) vételi ajánlatot tette, de a foglaló vagy a </w:t>
      </w:r>
      <w:r w:rsidR="00B378CB" w:rsidRPr="00514EBA">
        <w:rPr>
          <w:rFonts w:ascii="Garamond" w:hAnsi="Garamond"/>
          <w:sz w:val="24"/>
        </w:rPr>
        <w:t>V</w:t>
      </w:r>
      <w:r w:rsidRPr="00514EBA">
        <w:rPr>
          <w:rFonts w:ascii="Garamond" w:hAnsi="Garamond"/>
          <w:sz w:val="24"/>
        </w:rPr>
        <w:t xml:space="preserve">ételár hiánytalan kifizetését határidőben elmulasztotta és/vagy az Árverési feltételekben meghatározott egyéb kötelezettségét megszegte, a jövőre nézve is kizárható az árverésből (árverésekből), vagy az árverésben történő ajánlattevői részvétele előzetes pénzügyi biztosíték nyújtásához köthető. Ugyanezen rendelkezés vonatkozik az Árverési vevő képviselőjére és az általa képviselt Árverési vevőre is; ez esetben az </w:t>
      </w:r>
      <w:r w:rsidR="00C2655F">
        <w:rPr>
          <w:rFonts w:ascii="Garamond" w:hAnsi="Garamond"/>
          <w:sz w:val="24"/>
        </w:rPr>
        <w:t>Aukciósház</w:t>
      </w:r>
      <w:r w:rsidRPr="00514EBA">
        <w:rPr>
          <w:rFonts w:ascii="Garamond" w:hAnsi="Garamond"/>
          <w:sz w:val="24"/>
        </w:rPr>
        <w:t xml:space="preserve"> nem köteles vizsgálni, hogy a mulasztás a képviselő vagy a képviselt hibája miatt következett-e be.</w:t>
      </w:r>
    </w:p>
    <w:p w14:paraId="6871805A" w14:textId="57CD62EE" w:rsidR="003B2726"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Az árverezés és a vételár kialak</w:t>
      </w:r>
      <w:r w:rsidR="00122DF1">
        <w:rPr>
          <w:rFonts w:ascii="Garamond" w:hAnsi="Garamond"/>
          <w:sz w:val="24"/>
        </w:rPr>
        <w:t>ítása magyar forintban történik.</w:t>
      </w:r>
      <w:bookmarkStart w:id="4" w:name="content_adasveteli_szerzodes"/>
    </w:p>
    <w:p w14:paraId="6555F7F4" w14:textId="5573EBC7"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r w:rsidRPr="00514EBA">
        <w:rPr>
          <w:rFonts w:ascii="Garamond" w:hAnsi="Garamond"/>
          <w:b/>
          <w:sz w:val="24"/>
        </w:rPr>
        <w:t>Adásvételi szerződés létrejötte</w:t>
      </w:r>
      <w:bookmarkEnd w:id="4"/>
    </w:p>
    <w:p w14:paraId="2E1634C4" w14:textId="131C1067"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adásvételi szerződés – az 5.2 és 5.3 pont szerinti kiegészítésekkel – a legmagasabb összegű vételi ajánlatot tevő Árverési vevő és az </w:t>
      </w:r>
      <w:r w:rsidR="00C2655F">
        <w:rPr>
          <w:rFonts w:ascii="Garamond" w:hAnsi="Garamond"/>
          <w:sz w:val="24"/>
        </w:rPr>
        <w:t>Aukciósház</w:t>
      </w:r>
      <w:r w:rsidRPr="00514EBA">
        <w:rPr>
          <w:rFonts w:ascii="Garamond" w:hAnsi="Garamond"/>
          <w:sz w:val="24"/>
        </w:rPr>
        <w:t xml:space="preserve"> között </w:t>
      </w:r>
      <w:r w:rsidRPr="00A46AB5">
        <w:rPr>
          <w:rFonts w:ascii="Garamond" w:hAnsi="Garamond"/>
          <w:sz w:val="24"/>
        </w:rPr>
        <w:t>a leütéssel jön létre.</w:t>
      </w:r>
      <w:r w:rsidRPr="00514EBA">
        <w:rPr>
          <w:rFonts w:ascii="Garamond" w:hAnsi="Garamond"/>
          <w:sz w:val="24"/>
        </w:rPr>
        <w:t xml:space="preserve"> A Vevő az árverési tétel tulajdonjogát akkor </w:t>
      </w:r>
      <w:proofErr w:type="spellStart"/>
      <w:r w:rsidRPr="00514EBA">
        <w:rPr>
          <w:rFonts w:ascii="Garamond" w:hAnsi="Garamond"/>
          <w:sz w:val="24"/>
        </w:rPr>
        <w:t>szerzi</w:t>
      </w:r>
      <w:proofErr w:type="spellEnd"/>
      <w:r w:rsidRPr="00514EBA">
        <w:rPr>
          <w:rFonts w:ascii="Garamond" w:hAnsi="Garamond"/>
          <w:sz w:val="24"/>
        </w:rPr>
        <w:t xml:space="preserve"> meg, ha a vételárat maradéktalanul megfizette, és az árverési tételt az </w:t>
      </w:r>
      <w:r w:rsidR="00C2655F">
        <w:rPr>
          <w:rFonts w:ascii="Garamond" w:hAnsi="Garamond"/>
          <w:sz w:val="24"/>
        </w:rPr>
        <w:t>Aukciósház</w:t>
      </w:r>
      <w:r w:rsidRPr="00514EBA">
        <w:rPr>
          <w:rFonts w:ascii="Garamond" w:hAnsi="Garamond"/>
          <w:sz w:val="24"/>
        </w:rPr>
        <w:t>tól átvette.</w:t>
      </w:r>
    </w:p>
    <w:p w14:paraId="24F316FA" w14:textId="6A95940E"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kulturális örökség védelméről szóló 2001. évi LXIV. törvény </w:t>
      </w:r>
      <w:r w:rsidR="00962BC4" w:rsidRPr="00514EBA">
        <w:rPr>
          <w:rFonts w:ascii="Garamond" w:eastAsia="Times New Roman" w:hAnsi="Garamond" w:cs="Times New Roman"/>
          <w:sz w:val="24"/>
          <w:szCs w:val="24"/>
          <w:lang w:eastAsia="hu-HU"/>
        </w:rPr>
        <w:t>86.</w:t>
      </w:r>
      <w:r w:rsidRPr="00514EBA">
        <w:rPr>
          <w:rFonts w:ascii="Garamond" w:eastAsia="Times New Roman" w:hAnsi="Garamond" w:cs="Times New Roman"/>
          <w:sz w:val="24"/>
          <w:szCs w:val="24"/>
          <w:lang w:eastAsia="hu-HU"/>
        </w:rPr>
        <w:t xml:space="preserve"> §</w:t>
      </w:r>
      <w:r w:rsidR="0085317A" w:rsidRPr="00514EBA">
        <w:rPr>
          <w:rFonts w:ascii="Garamond" w:eastAsia="Times New Roman" w:hAnsi="Garamond" w:cs="Times New Roman"/>
          <w:sz w:val="24"/>
          <w:szCs w:val="24"/>
          <w:lang w:eastAsia="hu-HU"/>
        </w:rPr>
        <w:t>-a</w:t>
      </w:r>
      <w:r w:rsidR="0085317A" w:rsidRPr="00514EBA">
        <w:rPr>
          <w:rFonts w:ascii="Garamond" w:hAnsi="Garamond"/>
          <w:sz w:val="24"/>
        </w:rPr>
        <w:t xml:space="preserve"> </w:t>
      </w:r>
      <w:r w:rsidRPr="00514EBA">
        <w:rPr>
          <w:rFonts w:ascii="Garamond" w:hAnsi="Garamond"/>
          <w:sz w:val="24"/>
        </w:rPr>
        <w:t>szerint a védetté nyilvánított kulturális javak (a Katalógusban „védett” jelzéssel szereplő árverési tételek) tulajdonjogát csak írásbeli szerződés alapján lehet átruházni. Az írásbeli szerződés megkötésére az árverést követő</w:t>
      </w:r>
      <w:r w:rsidR="00D634BB" w:rsidRPr="00514EBA">
        <w:rPr>
          <w:rFonts w:ascii="Garamond" w:hAnsi="Garamond"/>
          <w:sz w:val="24"/>
        </w:rPr>
        <w:t xml:space="preserve"> 15 napon belül</w:t>
      </w:r>
      <w:r w:rsidRPr="00514EBA">
        <w:rPr>
          <w:rFonts w:ascii="Garamond" w:hAnsi="Garamond"/>
          <w:sz w:val="24"/>
        </w:rPr>
        <w:t xml:space="preserve"> kerül sor.</w:t>
      </w:r>
    </w:p>
    <w:p w14:paraId="1CC52B25" w14:textId="36997D14"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védetté nyilvánított kulturális javakkal kapcsolatos – a védetté nyilvánító határozatban szereplő – adatokban bekövetkezett változásokat (tulajdonos neve, címe; a védetté nyilvánított tárgy őrzésének helye) a tulajdonos haladéktalanul, de legkésőbb a tudomására jutástól számított 8 napon belül köteles a </w:t>
      </w:r>
      <w:r w:rsidR="00FC13BB" w:rsidRPr="00514EBA">
        <w:rPr>
          <w:rFonts w:ascii="Garamond" w:eastAsia="Times New Roman" w:hAnsi="Garamond" w:cs="Times New Roman"/>
          <w:sz w:val="24"/>
          <w:szCs w:val="24"/>
          <w:lang w:eastAsia="hu-HU"/>
        </w:rPr>
        <w:t xml:space="preserve">Miniszterelnökség Műtárgyfelügyeleti Hatósági </w:t>
      </w:r>
      <w:r w:rsidR="00FC13BB" w:rsidRPr="00514EBA">
        <w:rPr>
          <w:rFonts w:ascii="Garamond" w:eastAsia="Times New Roman" w:hAnsi="Garamond" w:cs="Times New Roman"/>
          <w:sz w:val="24"/>
          <w:szCs w:val="24"/>
          <w:lang w:eastAsia="hu-HU"/>
        </w:rPr>
        <w:lastRenderedPageBreak/>
        <w:t xml:space="preserve">Főosztálynak </w:t>
      </w:r>
      <w:r w:rsidR="00100DC6" w:rsidRPr="00514EBA">
        <w:rPr>
          <w:rFonts w:ascii="Garamond" w:eastAsia="Times New Roman" w:hAnsi="Garamond" w:cs="Times New Roman"/>
          <w:sz w:val="24"/>
          <w:szCs w:val="24"/>
          <w:lang w:eastAsia="hu-HU"/>
        </w:rPr>
        <w:t>(</w:t>
      </w:r>
      <w:r w:rsidR="00962BC4" w:rsidRPr="00514EBA">
        <w:rPr>
          <w:rFonts w:ascii="Garamond" w:eastAsia="Times New Roman" w:hAnsi="Garamond" w:cs="Times New Roman"/>
          <w:sz w:val="24"/>
          <w:szCs w:val="24"/>
          <w:lang w:eastAsia="hu-HU"/>
        </w:rPr>
        <w:t>„</w:t>
      </w:r>
      <w:r w:rsidR="00100DC6" w:rsidRPr="00514EBA">
        <w:rPr>
          <w:rFonts w:ascii="Garamond" w:eastAsia="Times New Roman" w:hAnsi="Garamond" w:cs="Times New Roman"/>
          <w:sz w:val="24"/>
          <w:szCs w:val="24"/>
          <w:lang w:eastAsia="hu-HU"/>
        </w:rPr>
        <w:t>Hatóság</w:t>
      </w:r>
      <w:r w:rsidR="00962BC4" w:rsidRPr="00514EBA">
        <w:rPr>
          <w:rFonts w:ascii="Garamond" w:eastAsia="Times New Roman" w:hAnsi="Garamond" w:cs="Times New Roman"/>
          <w:sz w:val="24"/>
          <w:szCs w:val="24"/>
          <w:lang w:eastAsia="hu-HU"/>
        </w:rPr>
        <w:t>”</w:t>
      </w:r>
      <w:r w:rsidR="00100DC6" w:rsidRPr="00514EBA">
        <w:rPr>
          <w:rFonts w:ascii="Garamond" w:eastAsia="Times New Roman" w:hAnsi="Garamond" w:cs="Times New Roman"/>
          <w:sz w:val="24"/>
          <w:szCs w:val="24"/>
          <w:lang w:eastAsia="hu-HU"/>
        </w:rPr>
        <w:t>)</w:t>
      </w:r>
      <w:r w:rsidRPr="00514EBA">
        <w:rPr>
          <w:rFonts w:ascii="Garamond" w:hAnsi="Garamond"/>
          <w:sz w:val="24"/>
        </w:rPr>
        <w:t xml:space="preserve"> bejelenteni. A védetté nyilvánított kulturális javak kereskedelmi forgalomban – így különösen árverésen – történő átruházása esetén a bejelentésre az </w:t>
      </w:r>
      <w:r w:rsidR="00C2655F">
        <w:rPr>
          <w:rFonts w:ascii="Garamond" w:hAnsi="Garamond"/>
          <w:sz w:val="24"/>
        </w:rPr>
        <w:t>Aukciósház</w:t>
      </w:r>
      <w:r w:rsidRPr="00514EBA">
        <w:rPr>
          <w:rFonts w:ascii="Garamond" w:hAnsi="Garamond"/>
          <w:sz w:val="24"/>
        </w:rPr>
        <w:t xml:space="preserve"> is köteles.</w:t>
      </w:r>
    </w:p>
    <w:p w14:paraId="5314F85E" w14:textId="0536D06D"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kulturális örökség védelméről szóló 2001. évi LXIV. törvény </w:t>
      </w:r>
      <w:r w:rsidR="00EF4045" w:rsidRPr="00514EBA">
        <w:rPr>
          <w:rFonts w:ascii="Garamond" w:eastAsia="Times New Roman" w:hAnsi="Garamond" w:cs="Times New Roman"/>
          <w:sz w:val="24"/>
          <w:szCs w:val="24"/>
          <w:lang w:eastAsia="hu-HU"/>
        </w:rPr>
        <w:t>86</w:t>
      </w:r>
      <w:r w:rsidRPr="00514EBA">
        <w:rPr>
          <w:rFonts w:ascii="Garamond" w:eastAsia="Times New Roman" w:hAnsi="Garamond" w:cs="Times New Roman"/>
          <w:sz w:val="24"/>
          <w:szCs w:val="24"/>
          <w:lang w:eastAsia="hu-HU"/>
        </w:rPr>
        <w:t>. § (</w:t>
      </w:r>
      <w:r w:rsidR="00EF4045" w:rsidRPr="00514EBA">
        <w:rPr>
          <w:rFonts w:ascii="Garamond" w:eastAsia="Times New Roman" w:hAnsi="Garamond" w:cs="Times New Roman"/>
          <w:sz w:val="24"/>
          <w:szCs w:val="24"/>
          <w:lang w:eastAsia="hu-HU"/>
        </w:rPr>
        <w:t>1</w:t>
      </w:r>
      <w:r w:rsidRPr="00514EBA">
        <w:rPr>
          <w:rFonts w:ascii="Garamond" w:hAnsi="Garamond"/>
          <w:sz w:val="24"/>
        </w:rPr>
        <w:t xml:space="preserve">) bekezdése szerint a Magyar Államot a védetté nyilvánított kulturális javak </w:t>
      </w:r>
      <w:r w:rsidR="00C371BB" w:rsidRPr="00514EBA">
        <w:rPr>
          <w:rFonts w:ascii="Garamond" w:eastAsia="Times New Roman" w:hAnsi="Garamond" w:cs="Times New Roman"/>
          <w:sz w:val="24"/>
          <w:szCs w:val="24"/>
          <w:lang w:eastAsia="hu-HU"/>
        </w:rPr>
        <w:t>elemeire</w:t>
      </w:r>
      <w:r w:rsidRPr="00514EBA">
        <w:rPr>
          <w:rFonts w:ascii="Garamond" w:hAnsi="Garamond"/>
          <w:sz w:val="24"/>
        </w:rPr>
        <w:t xml:space="preserve"> elővásárlási jog illeti meg</w:t>
      </w:r>
      <w:r w:rsidR="009158AF" w:rsidRPr="00514EBA">
        <w:rPr>
          <w:rFonts w:ascii="Garamond" w:hAnsi="Garamond"/>
          <w:sz w:val="24"/>
        </w:rPr>
        <w:t xml:space="preserve">. A </w:t>
      </w:r>
      <w:r w:rsidR="007F1E39" w:rsidRPr="00514EBA">
        <w:rPr>
          <w:rFonts w:ascii="Garamond" w:hAnsi="Garamond"/>
          <w:sz w:val="24"/>
        </w:rPr>
        <w:t>Hatóság</w:t>
      </w:r>
      <w:r w:rsidR="009158AF" w:rsidRPr="00514EBA">
        <w:rPr>
          <w:rFonts w:ascii="Garamond" w:hAnsi="Garamond"/>
          <w:sz w:val="24"/>
        </w:rPr>
        <w:t xml:space="preserve"> képviselője a</w:t>
      </w:r>
      <w:r w:rsidR="00EB5622" w:rsidRPr="00514EBA">
        <w:rPr>
          <w:rFonts w:ascii="Garamond" w:hAnsi="Garamond"/>
          <w:sz w:val="24"/>
        </w:rPr>
        <w:t xml:space="preserve"> </w:t>
      </w:r>
      <w:r w:rsidR="009158AF" w:rsidRPr="00514EBA">
        <w:rPr>
          <w:rFonts w:ascii="Garamond" w:hAnsi="Garamond"/>
          <w:sz w:val="24"/>
        </w:rPr>
        <w:t xml:space="preserve">leütés után haladéktalanul köteles nyilatkozni, amennyiben az elővásárlási jogát gyakorolni kívánja. Határidőben való nyilatkozatnak minősül, ha a </w:t>
      </w:r>
      <w:r w:rsidR="007F1E39" w:rsidRPr="00514EBA">
        <w:rPr>
          <w:rFonts w:ascii="Garamond" w:hAnsi="Garamond"/>
          <w:sz w:val="24"/>
        </w:rPr>
        <w:t>H</w:t>
      </w:r>
      <w:r w:rsidR="009158AF" w:rsidRPr="00514EBA">
        <w:rPr>
          <w:rFonts w:ascii="Garamond" w:hAnsi="Garamond"/>
          <w:sz w:val="24"/>
        </w:rPr>
        <w:t xml:space="preserve">atóságának a képviselője az elővásárlási jog gyakorlásáról az árverés befejezéséig az </w:t>
      </w:r>
      <w:r w:rsidR="00C2655F">
        <w:rPr>
          <w:rFonts w:ascii="Garamond" w:hAnsi="Garamond"/>
          <w:sz w:val="24"/>
        </w:rPr>
        <w:t>Aukciósház</w:t>
      </w:r>
      <w:r w:rsidR="009158AF" w:rsidRPr="00514EBA">
        <w:rPr>
          <w:rFonts w:ascii="Garamond" w:hAnsi="Garamond"/>
          <w:sz w:val="24"/>
        </w:rPr>
        <w:t xml:space="preserve"> képviselőjét tájékoztatja.</w:t>
      </w:r>
    </w:p>
    <w:p w14:paraId="66890464" w14:textId="6384181C" w:rsidR="003B2726" w:rsidRPr="00514EBA" w:rsidRDefault="00B378CB" w:rsidP="00A648D0">
      <w:pPr>
        <w:pStyle w:val="Listaszerbekezds"/>
        <w:numPr>
          <w:ilvl w:val="0"/>
          <w:numId w:val="3"/>
        </w:numPr>
        <w:spacing w:before="240" w:after="240" w:line="240" w:lineRule="auto"/>
        <w:contextualSpacing w:val="0"/>
        <w:jc w:val="both"/>
        <w:rPr>
          <w:rFonts w:ascii="Garamond" w:hAnsi="Garamond"/>
          <w:b/>
          <w:sz w:val="24"/>
        </w:rPr>
      </w:pPr>
      <w:bookmarkStart w:id="5" w:name="content_teljes_vetelar"/>
      <w:r w:rsidRPr="00514EBA">
        <w:rPr>
          <w:rFonts w:ascii="Garamond" w:hAnsi="Garamond"/>
          <w:b/>
          <w:sz w:val="24"/>
        </w:rPr>
        <w:t>V</w:t>
      </w:r>
      <w:r w:rsidR="0089572D" w:rsidRPr="00514EBA">
        <w:rPr>
          <w:rFonts w:ascii="Garamond" w:hAnsi="Garamond"/>
          <w:b/>
          <w:sz w:val="24"/>
        </w:rPr>
        <w:t>ételár</w:t>
      </w:r>
      <w:bookmarkEnd w:id="5"/>
    </w:p>
    <w:p w14:paraId="317A4CCA" w14:textId="1579560C"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w:t>
      </w:r>
      <w:r w:rsidR="00B378CB" w:rsidRPr="00514EBA">
        <w:rPr>
          <w:rFonts w:ascii="Garamond" w:hAnsi="Garamond"/>
          <w:sz w:val="24"/>
        </w:rPr>
        <w:t>V</w:t>
      </w:r>
      <w:r w:rsidRPr="00514EBA">
        <w:rPr>
          <w:rFonts w:ascii="Garamond" w:hAnsi="Garamond"/>
          <w:sz w:val="24"/>
        </w:rPr>
        <w:t>ételár jogszabály alapján a Leütési ár és az árverési jutalék, valamint esetlegesen a jogszabályok által előírt más adó vagy járulék együttes összege.</w:t>
      </w:r>
    </w:p>
    <w:p w14:paraId="3BE0C0C4" w14:textId="6BE9287A"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Vevő a </w:t>
      </w:r>
      <w:r w:rsidR="00B378CB" w:rsidRPr="00514EBA">
        <w:rPr>
          <w:rFonts w:ascii="Garamond" w:hAnsi="Garamond"/>
          <w:sz w:val="24"/>
        </w:rPr>
        <w:t>V</w:t>
      </w:r>
      <w:r w:rsidRPr="00514EBA">
        <w:rPr>
          <w:rFonts w:ascii="Garamond" w:hAnsi="Garamond"/>
          <w:sz w:val="24"/>
        </w:rPr>
        <w:t>ételárat az árverés időpontjától számított 3 munkanapon belül köteles megfizetni</w:t>
      </w:r>
      <w:r w:rsidR="00A77E9E">
        <w:rPr>
          <w:rFonts w:ascii="Garamond" w:hAnsi="Garamond"/>
          <w:sz w:val="24"/>
        </w:rPr>
        <w:t xml:space="preserve"> </w:t>
      </w:r>
      <w:r w:rsidR="00A77E9E" w:rsidRPr="00514EBA">
        <w:rPr>
          <w:rFonts w:ascii="Garamond" w:hAnsi="Garamond"/>
          <w:sz w:val="24"/>
        </w:rPr>
        <w:t>választása szerint kés</w:t>
      </w:r>
      <w:r w:rsidR="009A734A">
        <w:rPr>
          <w:rFonts w:ascii="Garamond" w:hAnsi="Garamond"/>
          <w:sz w:val="24"/>
        </w:rPr>
        <w:t>zpénzben, illetve bankkártyával</w:t>
      </w:r>
      <w:r w:rsidR="00A77E9E" w:rsidRPr="00514EBA">
        <w:rPr>
          <w:rFonts w:ascii="Garamond" w:eastAsia="Times New Roman" w:hAnsi="Garamond" w:cs="Times New Roman"/>
          <w:sz w:val="24"/>
          <w:szCs w:val="24"/>
          <w:lang w:eastAsia="hu-HU"/>
        </w:rPr>
        <w:t xml:space="preserve"> </w:t>
      </w:r>
      <w:r w:rsidR="00DB661E">
        <w:rPr>
          <w:rFonts w:ascii="Garamond" w:eastAsia="Times New Roman" w:hAnsi="Garamond" w:cs="Times New Roman"/>
          <w:sz w:val="24"/>
          <w:szCs w:val="24"/>
          <w:lang w:eastAsia="hu-HU"/>
        </w:rPr>
        <w:t xml:space="preserve">az Aukciósház kijelölt egységében </w:t>
      </w:r>
      <w:r w:rsidR="00A77E9E" w:rsidRPr="00514EBA">
        <w:rPr>
          <w:rFonts w:ascii="Garamond" w:eastAsia="Times New Roman" w:hAnsi="Garamond" w:cs="Times New Roman"/>
          <w:sz w:val="24"/>
          <w:szCs w:val="24"/>
          <w:lang w:eastAsia="hu-HU"/>
        </w:rPr>
        <w:t xml:space="preserve">azzal, hogy az </w:t>
      </w:r>
      <w:r w:rsidR="00A77E9E">
        <w:rPr>
          <w:rFonts w:ascii="Garamond" w:eastAsia="Times New Roman" w:hAnsi="Garamond" w:cs="Times New Roman"/>
          <w:sz w:val="24"/>
          <w:szCs w:val="24"/>
          <w:lang w:eastAsia="hu-HU"/>
        </w:rPr>
        <w:t>Aukciósház</w:t>
      </w:r>
      <w:r w:rsidR="00A77E9E" w:rsidRPr="00514EBA">
        <w:rPr>
          <w:rFonts w:ascii="Garamond" w:eastAsia="Times New Roman" w:hAnsi="Garamond" w:cs="Times New Roman"/>
          <w:sz w:val="24"/>
          <w:szCs w:val="24"/>
          <w:lang w:eastAsia="hu-HU"/>
        </w:rPr>
        <w:t xml:space="preserve"> készpénzfizetést a </w:t>
      </w:r>
      <w:r w:rsidR="00A77E9E" w:rsidRPr="00514EBA">
        <w:rPr>
          <w:rFonts w:ascii="Garamond" w:eastAsia="Times New Roman" w:hAnsi="Garamond" w:cs="Times New Roman"/>
          <w:b/>
          <w:sz w:val="24"/>
          <w:szCs w:val="24"/>
          <w:lang w:eastAsia="hu-HU"/>
        </w:rPr>
        <w:t xml:space="preserve">nemesfémnek </w:t>
      </w:r>
      <w:r w:rsidR="007A2024">
        <w:rPr>
          <w:rFonts w:ascii="Garamond" w:eastAsia="Times New Roman" w:hAnsi="Garamond" w:cs="Times New Roman"/>
          <w:b/>
          <w:sz w:val="24"/>
          <w:szCs w:val="24"/>
          <w:lang w:eastAsia="hu-HU"/>
        </w:rPr>
        <w:t xml:space="preserve">vagy kulturális javaknak </w:t>
      </w:r>
      <w:r w:rsidR="00A77E9E" w:rsidRPr="00514EBA">
        <w:rPr>
          <w:rFonts w:ascii="Garamond" w:eastAsia="Times New Roman" w:hAnsi="Garamond" w:cs="Times New Roman"/>
          <w:b/>
          <w:sz w:val="24"/>
          <w:szCs w:val="24"/>
          <w:lang w:eastAsia="hu-HU"/>
        </w:rPr>
        <w:t>nem minősülő</w:t>
      </w:r>
      <w:r w:rsidR="00A77E9E" w:rsidRPr="00514EBA">
        <w:rPr>
          <w:rFonts w:ascii="Garamond" w:eastAsia="Times New Roman" w:hAnsi="Garamond" w:cs="Times New Roman"/>
          <w:sz w:val="24"/>
          <w:szCs w:val="24"/>
          <w:lang w:eastAsia="hu-HU"/>
        </w:rPr>
        <w:t xml:space="preserve"> tárgyak esetében ügyletenként (árverési tételenként) csak </w:t>
      </w:r>
      <w:r w:rsidR="00DB661E">
        <w:rPr>
          <w:rFonts w:ascii="Garamond" w:eastAsia="Times New Roman" w:hAnsi="Garamond" w:cs="Times New Roman"/>
          <w:sz w:val="24"/>
          <w:szCs w:val="24"/>
          <w:lang w:eastAsia="hu-HU"/>
        </w:rPr>
        <w:t>2</w:t>
      </w:r>
      <w:r w:rsidR="00A77E9E" w:rsidRPr="00514EBA">
        <w:rPr>
          <w:rFonts w:ascii="Garamond" w:eastAsia="Times New Roman" w:hAnsi="Garamond" w:cs="Times New Roman"/>
          <w:sz w:val="24"/>
          <w:szCs w:val="24"/>
          <w:lang w:eastAsia="hu-HU"/>
        </w:rPr>
        <w:t>.</w:t>
      </w:r>
      <w:r w:rsidR="00DB661E">
        <w:rPr>
          <w:rFonts w:ascii="Garamond" w:eastAsia="Times New Roman" w:hAnsi="Garamond" w:cs="Times New Roman"/>
          <w:sz w:val="24"/>
          <w:szCs w:val="24"/>
          <w:lang w:eastAsia="hu-HU"/>
        </w:rPr>
        <w:t>9</w:t>
      </w:r>
      <w:r w:rsidR="00A77E9E" w:rsidRPr="00514EBA">
        <w:rPr>
          <w:rFonts w:ascii="Garamond" w:eastAsia="Times New Roman" w:hAnsi="Garamond" w:cs="Times New Roman"/>
          <w:sz w:val="24"/>
          <w:szCs w:val="24"/>
          <w:lang w:eastAsia="hu-HU"/>
        </w:rPr>
        <w:t>99.999 Ft összeg erejéig fogad el</w:t>
      </w:r>
      <w:r w:rsidRPr="00514EBA">
        <w:rPr>
          <w:rFonts w:ascii="Garamond" w:hAnsi="Garamond"/>
          <w:sz w:val="24"/>
        </w:rPr>
        <w:t xml:space="preserve">. Ha a Vevő a megadott határidőig a </w:t>
      </w:r>
      <w:r w:rsidR="00B378CB" w:rsidRPr="00514EBA">
        <w:rPr>
          <w:rFonts w:ascii="Garamond" w:hAnsi="Garamond"/>
          <w:sz w:val="24"/>
        </w:rPr>
        <w:t>V</w:t>
      </w:r>
      <w:r w:rsidRPr="00514EBA">
        <w:rPr>
          <w:rFonts w:ascii="Garamond" w:hAnsi="Garamond"/>
          <w:sz w:val="24"/>
        </w:rPr>
        <w:t xml:space="preserve">ételárat maradéktalanul nem fizeti meg, úgy az </w:t>
      </w:r>
      <w:r w:rsidR="00C2655F">
        <w:rPr>
          <w:rFonts w:ascii="Garamond" w:hAnsi="Garamond"/>
          <w:sz w:val="24"/>
        </w:rPr>
        <w:t>Aukciósház</w:t>
      </w:r>
      <w:r w:rsidRPr="00514EBA">
        <w:rPr>
          <w:rFonts w:ascii="Garamond" w:hAnsi="Garamond"/>
          <w:sz w:val="24"/>
        </w:rPr>
        <w:t xml:space="preserve"> jogosult az adásvételtől elállni. Amennyiben az </w:t>
      </w:r>
      <w:r w:rsidR="00C2655F">
        <w:rPr>
          <w:rFonts w:ascii="Garamond" w:hAnsi="Garamond"/>
          <w:sz w:val="24"/>
        </w:rPr>
        <w:t>Aukciósház</w:t>
      </w:r>
      <w:r w:rsidRPr="00514EBA">
        <w:rPr>
          <w:rFonts w:ascii="Garamond" w:hAnsi="Garamond"/>
          <w:sz w:val="24"/>
        </w:rPr>
        <w:t xml:space="preserve"> az adásvételtől nem áll el, a Ptk. szerinti késedelmi kamat követelésére jogosult.</w:t>
      </w:r>
    </w:p>
    <w:p w14:paraId="385001CF" w14:textId="2AA9329D"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árverés eredményessége esetén az </w:t>
      </w:r>
      <w:r w:rsidR="00C2655F">
        <w:rPr>
          <w:rFonts w:ascii="Garamond" w:hAnsi="Garamond"/>
          <w:sz w:val="24"/>
        </w:rPr>
        <w:t>Aukciósház</w:t>
      </w:r>
      <w:r w:rsidRPr="00514EBA">
        <w:rPr>
          <w:rFonts w:ascii="Garamond" w:hAnsi="Garamond"/>
          <w:sz w:val="24"/>
        </w:rPr>
        <w:t>at árverési jutalék illeti meg, amel</w:t>
      </w:r>
      <w:r w:rsidR="008058DE">
        <w:rPr>
          <w:rFonts w:ascii="Garamond" w:hAnsi="Garamond"/>
          <w:sz w:val="24"/>
        </w:rPr>
        <w:t xml:space="preserve">ynek mértéke a Leütési ár </w:t>
      </w:r>
      <w:r w:rsidR="00087385">
        <w:rPr>
          <w:rFonts w:ascii="Garamond" w:hAnsi="Garamond"/>
          <w:sz w:val="24"/>
        </w:rPr>
        <w:t>25</w:t>
      </w:r>
      <w:r w:rsidR="008058DE" w:rsidRPr="007D5B45">
        <w:rPr>
          <w:rFonts w:ascii="Garamond" w:hAnsi="Garamond"/>
          <w:sz w:val="24"/>
        </w:rPr>
        <w:t>%-a</w:t>
      </w:r>
      <w:r w:rsidR="00087385">
        <w:rPr>
          <w:rFonts w:ascii="Garamond" w:hAnsi="Garamond"/>
          <w:sz w:val="24"/>
        </w:rPr>
        <w:t>.</w:t>
      </w:r>
    </w:p>
    <w:p w14:paraId="70623D89" w14:textId="06166596"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Egyes jogszabályban meghatározott esetben a Vevőt a </w:t>
      </w:r>
      <w:r w:rsidR="00B378CB" w:rsidRPr="00514EBA">
        <w:rPr>
          <w:rFonts w:ascii="Garamond" w:hAnsi="Garamond"/>
          <w:sz w:val="24"/>
        </w:rPr>
        <w:t>V</w:t>
      </w:r>
      <w:r w:rsidRPr="00514EBA">
        <w:rPr>
          <w:rFonts w:ascii="Garamond" w:hAnsi="Garamond"/>
          <w:sz w:val="24"/>
        </w:rPr>
        <w:t>ételár megfizetésével egyidejűleg más fizetési kötelezettség is terhelheti.</w:t>
      </w:r>
    </w:p>
    <w:p w14:paraId="03DF9AB9" w14:textId="77777777"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E körben az adásvételi szerződés létrejöttekor hatályos jogi szabályozás irányadó.</w:t>
      </w:r>
    </w:p>
    <w:p w14:paraId="343F58B1" w14:textId="605E0339" w:rsidR="003B2726"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6" w:name="content_arveresi_tetel_atadas"/>
      <w:r w:rsidRPr="00514EBA">
        <w:rPr>
          <w:rFonts w:ascii="Garamond" w:hAnsi="Garamond"/>
          <w:b/>
          <w:sz w:val="24"/>
        </w:rPr>
        <w:t>Az árverési tétel átadása</w:t>
      </w:r>
      <w:bookmarkEnd w:id="6"/>
    </w:p>
    <w:p w14:paraId="7D3A3B97" w14:textId="3A8A885F"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Amennyiben a Vevő a </w:t>
      </w:r>
      <w:r w:rsidR="00B378CB" w:rsidRPr="00514EBA">
        <w:rPr>
          <w:rFonts w:ascii="Garamond" w:hAnsi="Garamond"/>
          <w:sz w:val="24"/>
        </w:rPr>
        <w:t>V</w:t>
      </w:r>
      <w:r w:rsidRPr="00514EBA">
        <w:rPr>
          <w:rFonts w:ascii="Garamond" w:hAnsi="Garamond"/>
          <w:sz w:val="24"/>
        </w:rPr>
        <w:t>ételárat maradéktalanul ki</w:t>
      </w:r>
      <w:r w:rsidR="00514EBA">
        <w:rPr>
          <w:rFonts w:ascii="Garamond" w:hAnsi="Garamond"/>
          <w:sz w:val="24"/>
        </w:rPr>
        <w:t xml:space="preserve">fizette, úgy az árverési tétel </w:t>
      </w:r>
      <w:r w:rsidR="00D634BB" w:rsidRPr="00514EBA">
        <w:rPr>
          <w:rFonts w:ascii="Garamond" w:hAnsi="Garamond"/>
          <w:sz w:val="24"/>
        </w:rPr>
        <w:t>az árverést követő nap</w:t>
      </w:r>
      <w:r w:rsidR="00B868C5" w:rsidRPr="00514EBA">
        <w:rPr>
          <w:rFonts w:ascii="Garamond" w:hAnsi="Garamond"/>
          <w:sz w:val="24"/>
        </w:rPr>
        <w:t>tól</w:t>
      </w:r>
      <w:r w:rsidR="00D634BB" w:rsidRPr="00514EBA">
        <w:rPr>
          <w:rFonts w:ascii="Garamond" w:hAnsi="Garamond"/>
          <w:sz w:val="24"/>
        </w:rPr>
        <w:t xml:space="preserve"> az </w:t>
      </w:r>
      <w:r w:rsidR="00C2655F">
        <w:rPr>
          <w:rFonts w:ascii="Garamond" w:hAnsi="Garamond"/>
          <w:sz w:val="24"/>
        </w:rPr>
        <w:t>Aukciósház</w:t>
      </w:r>
      <w:r w:rsidR="00B378CB" w:rsidRPr="00514EBA">
        <w:rPr>
          <w:rFonts w:ascii="Garamond" w:hAnsi="Garamond"/>
          <w:sz w:val="24"/>
        </w:rPr>
        <w:t xml:space="preserve"> kijelölt egységében </w:t>
      </w:r>
      <w:r w:rsidRPr="00514EBA">
        <w:rPr>
          <w:rFonts w:ascii="Garamond" w:hAnsi="Garamond"/>
          <w:sz w:val="24"/>
        </w:rPr>
        <w:t>átvehető.</w:t>
      </w:r>
    </w:p>
    <w:p w14:paraId="3E0D0006" w14:textId="4AD53555"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A Vevő a megvett műtárgy</w:t>
      </w:r>
      <w:r w:rsidR="00392F27" w:rsidRPr="00514EBA">
        <w:rPr>
          <w:rFonts w:ascii="Garamond" w:hAnsi="Garamond"/>
          <w:sz w:val="24"/>
        </w:rPr>
        <w:t>at –</w:t>
      </w:r>
      <w:r w:rsidRPr="00514EBA">
        <w:rPr>
          <w:rFonts w:ascii="Garamond" w:hAnsi="Garamond"/>
          <w:sz w:val="24"/>
        </w:rPr>
        <w:t xml:space="preserve"> </w:t>
      </w:r>
      <w:r w:rsidR="00392F27" w:rsidRPr="00514EBA">
        <w:rPr>
          <w:rFonts w:ascii="Garamond" w:hAnsi="Garamond"/>
          <w:sz w:val="24"/>
        </w:rPr>
        <w:t>a</w:t>
      </w:r>
      <w:r w:rsidRPr="00514EBA">
        <w:rPr>
          <w:rFonts w:ascii="Garamond" w:hAnsi="Garamond"/>
          <w:sz w:val="24"/>
        </w:rPr>
        <w:t xml:space="preserve"> </w:t>
      </w:r>
      <w:r w:rsidR="00B378CB" w:rsidRPr="00514EBA">
        <w:rPr>
          <w:rFonts w:ascii="Garamond" w:hAnsi="Garamond"/>
          <w:sz w:val="24"/>
        </w:rPr>
        <w:t>V</w:t>
      </w:r>
      <w:r w:rsidRPr="00514EBA">
        <w:rPr>
          <w:rFonts w:ascii="Garamond" w:hAnsi="Garamond"/>
          <w:sz w:val="24"/>
        </w:rPr>
        <w:t>ételár kiegyenlítésé</w:t>
      </w:r>
      <w:r w:rsidR="00392F27" w:rsidRPr="00514EBA">
        <w:rPr>
          <w:rFonts w:ascii="Garamond" w:hAnsi="Garamond"/>
          <w:sz w:val="24"/>
        </w:rPr>
        <w:t>t követően –</w:t>
      </w:r>
      <w:r w:rsidRPr="00514EBA">
        <w:rPr>
          <w:rFonts w:ascii="Garamond" w:hAnsi="Garamond"/>
          <w:sz w:val="24"/>
        </w:rPr>
        <w:t>az árverés időpontjától számított 3 munkanapon belül köteles saját költségére és veszélyére</w:t>
      </w:r>
      <w:r w:rsidR="00392F27" w:rsidRPr="00514EBA">
        <w:rPr>
          <w:rFonts w:ascii="Garamond" w:hAnsi="Garamond"/>
          <w:sz w:val="24"/>
        </w:rPr>
        <w:t xml:space="preserve"> elszállítani</w:t>
      </w:r>
      <w:r w:rsidRPr="00514EBA">
        <w:rPr>
          <w:rFonts w:ascii="Garamond" w:hAnsi="Garamond"/>
          <w:sz w:val="24"/>
        </w:rPr>
        <w:t xml:space="preserve">. Az </w:t>
      </w:r>
      <w:r w:rsidR="00C2655F">
        <w:rPr>
          <w:rFonts w:ascii="Garamond" w:hAnsi="Garamond"/>
          <w:sz w:val="24"/>
        </w:rPr>
        <w:t>Aukciósház</w:t>
      </w:r>
      <w:r w:rsidRPr="00514EBA">
        <w:rPr>
          <w:rFonts w:ascii="Garamond" w:hAnsi="Garamond"/>
          <w:sz w:val="24"/>
        </w:rPr>
        <w:t xml:space="preserve"> nem köteles a műtárgyat biztonsági csomagolással ellátni, illetőleg speciális csomagolási kérést a Vevő költségére teljesít. Az elszállítási kötelezettség elmulasztása esetén az </w:t>
      </w:r>
      <w:r w:rsidR="00C2655F">
        <w:rPr>
          <w:rFonts w:ascii="Garamond" w:hAnsi="Garamond"/>
          <w:sz w:val="24"/>
        </w:rPr>
        <w:t>Aukciósház</w:t>
      </w:r>
      <w:r w:rsidRPr="00514EBA">
        <w:rPr>
          <w:rFonts w:ascii="Garamond" w:hAnsi="Garamond"/>
          <w:sz w:val="24"/>
        </w:rPr>
        <w:t xml:space="preserve"> nem felel a műtárgy sérüléséért vagy elvesztéséért, és az árverést követő harmadik </w:t>
      </w:r>
      <w:r w:rsidR="00037EE3" w:rsidRPr="00514EBA">
        <w:rPr>
          <w:rFonts w:ascii="Garamond" w:hAnsi="Garamond"/>
          <w:sz w:val="24"/>
        </w:rPr>
        <w:t>munka</w:t>
      </w:r>
      <w:r w:rsidRPr="00514EBA">
        <w:rPr>
          <w:rFonts w:ascii="Garamond" w:hAnsi="Garamond"/>
          <w:sz w:val="24"/>
        </w:rPr>
        <w:t xml:space="preserve">naptól a </w:t>
      </w:r>
      <w:r w:rsidR="00B378CB" w:rsidRPr="00514EBA">
        <w:rPr>
          <w:rFonts w:ascii="Garamond" w:hAnsi="Garamond"/>
          <w:sz w:val="24"/>
        </w:rPr>
        <w:t>V</w:t>
      </w:r>
      <w:r w:rsidRPr="00514EBA">
        <w:rPr>
          <w:rFonts w:ascii="Garamond" w:hAnsi="Garamond"/>
          <w:sz w:val="24"/>
        </w:rPr>
        <w:t>ételárra vetített 0,2%/nap tárolási díjat jogosult felszámítani a Vevő felé. A tárolási díj a műtárgy birtokba adásával egyidejűleg esedékes.</w:t>
      </w:r>
    </w:p>
    <w:p w14:paraId="13C6BCE0" w14:textId="74EED7A0"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Ha a Vevő felszólítás ellenére a műtárgyat nem szállítja el, úgy ez esetben </w:t>
      </w:r>
      <w:r w:rsidRPr="00A46AB5">
        <w:rPr>
          <w:rFonts w:ascii="Garamond" w:hAnsi="Garamond"/>
          <w:sz w:val="24"/>
        </w:rPr>
        <w:t>6 hónap elteltével</w:t>
      </w:r>
      <w:r w:rsidRPr="00514EBA">
        <w:rPr>
          <w:rFonts w:ascii="Garamond" w:hAnsi="Garamond"/>
          <w:sz w:val="24"/>
        </w:rPr>
        <w:t xml:space="preserve"> az </w:t>
      </w:r>
      <w:r w:rsidR="00C2655F">
        <w:rPr>
          <w:rFonts w:ascii="Garamond" w:hAnsi="Garamond"/>
          <w:sz w:val="24"/>
        </w:rPr>
        <w:t>Aukciósház</w:t>
      </w:r>
      <w:r w:rsidRPr="00514EBA">
        <w:rPr>
          <w:rFonts w:ascii="Garamond" w:hAnsi="Garamond"/>
          <w:sz w:val="24"/>
        </w:rPr>
        <w:t xml:space="preserve"> az adásvételi szerződéstől – a foglaló megtartása mellett – elállhat, és kárainak (ideértve különösen az árverési jutalékot és a költségeit) megtérítését követelheti. Az </w:t>
      </w:r>
      <w:r w:rsidR="00C2655F">
        <w:rPr>
          <w:rFonts w:ascii="Garamond" w:hAnsi="Garamond"/>
          <w:sz w:val="24"/>
        </w:rPr>
        <w:t>Aukciósház</w:t>
      </w:r>
      <w:r w:rsidRPr="00514EBA">
        <w:rPr>
          <w:rFonts w:ascii="Garamond" w:hAnsi="Garamond"/>
          <w:sz w:val="24"/>
        </w:rPr>
        <w:t xml:space="preserve"> a Vevő által megfizetett összeg foglalón és kártérítési összegen felüli részét a Vevő javára, az elévülési idő lejártáig kamatmentes letétként kezeli; a Vevő írásbeli igényére pedig kifizeti.</w:t>
      </w:r>
    </w:p>
    <w:p w14:paraId="23F3CE23" w14:textId="3143D136" w:rsidR="00C7062F" w:rsidRPr="00514EBA" w:rsidRDefault="006B1A2D" w:rsidP="00F7330A">
      <w:pPr>
        <w:pStyle w:val="Listaszerbekezds"/>
        <w:numPr>
          <w:ilvl w:val="0"/>
          <w:numId w:val="3"/>
        </w:numPr>
        <w:spacing w:before="240" w:after="240" w:line="240" w:lineRule="auto"/>
        <w:contextualSpacing w:val="0"/>
        <w:jc w:val="both"/>
        <w:rPr>
          <w:rFonts w:ascii="Garamond" w:eastAsia="Times New Roman" w:hAnsi="Garamond" w:cs="Times New Roman"/>
          <w:b/>
          <w:bCs/>
          <w:sz w:val="24"/>
          <w:szCs w:val="24"/>
          <w:lang w:eastAsia="hu-HU"/>
        </w:rPr>
      </w:pPr>
      <w:bookmarkStart w:id="7" w:name="content_tavollevo_arveresi_vevok"/>
      <w:r w:rsidRPr="00514EBA">
        <w:rPr>
          <w:rFonts w:ascii="Garamond" w:eastAsia="Times New Roman" w:hAnsi="Garamond" w:cs="Times New Roman"/>
          <w:b/>
          <w:bCs/>
          <w:sz w:val="24"/>
          <w:szCs w:val="24"/>
          <w:lang w:eastAsia="hu-HU"/>
        </w:rPr>
        <w:t>Pénzmosás elleni</w:t>
      </w:r>
      <w:r w:rsidR="00C7062F" w:rsidRPr="00514EBA">
        <w:rPr>
          <w:rFonts w:ascii="Garamond" w:eastAsia="Times New Roman" w:hAnsi="Garamond" w:cs="Times New Roman"/>
          <w:b/>
          <w:bCs/>
          <w:sz w:val="24"/>
          <w:szCs w:val="24"/>
          <w:lang w:eastAsia="hu-HU"/>
        </w:rPr>
        <w:t xml:space="preserve"> jogszabályi rendelkezés</w:t>
      </w:r>
      <w:r w:rsidRPr="00514EBA">
        <w:rPr>
          <w:rFonts w:ascii="Garamond" w:eastAsia="Times New Roman" w:hAnsi="Garamond" w:cs="Times New Roman"/>
          <w:b/>
          <w:bCs/>
          <w:sz w:val="24"/>
          <w:szCs w:val="24"/>
          <w:lang w:eastAsia="hu-HU"/>
        </w:rPr>
        <w:t>ek</w:t>
      </w:r>
    </w:p>
    <w:p w14:paraId="30A55273" w14:textId="07A8233F" w:rsidR="00210B07" w:rsidRPr="00514EBA" w:rsidRDefault="008F4AFF" w:rsidP="00F7330A">
      <w:pPr>
        <w:pStyle w:val="Listaszerbekezds"/>
        <w:numPr>
          <w:ilvl w:val="1"/>
          <w:numId w:val="3"/>
        </w:numPr>
        <w:spacing w:before="240" w:after="240" w:line="240" w:lineRule="auto"/>
        <w:ind w:left="709" w:hanging="650"/>
        <w:contextualSpacing w:val="0"/>
        <w:jc w:val="both"/>
        <w:rPr>
          <w:rFonts w:ascii="Garamond" w:eastAsia="Times New Roman" w:hAnsi="Garamond" w:cs="Times New Roman"/>
          <w:sz w:val="24"/>
          <w:szCs w:val="24"/>
          <w:lang w:eastAsia="hu-HU"/>
        </w:rPr>
      </w:pPr>
      <w:r w:rsidRPr="00514EBA">
        <w:rPr>
          <w:rFonts w:ascii="Garamond" w:eastAsia="Times New Roman" w:hAnsi="Garamond" w:cs="Times New Roman"/>
          <w:sz w:val="24"/>
          <w:szCs w:val="24"/>
          <w:lang w:eastAsia="hu-HU"/>
        </w:rPr>
        <w:t>A pénzmosás és a terrorizmus finanszírozása megelőzéséről és megakadályozásáról szóló 2017. évi LIII. törvény (</w:t>
      </w:r>
      <w:r w:rsidR="006B1A2D" w:rsidRPr="00514EBA">
        <w:rPr>
          <w:rFonts w:ascii="Garamond" w:eastAsia="Times New Roman" w:hAnsi="Garamond" w:cs="Times New Roman"/>
          <w:sz w:val="24"/>
          <w:szCs w:val="24"/>
          <w:lang w:eastAsia="hu-HU"/>
        </w:rPr>
        <w:t>„</w:t>
      </w:r>
      <w:proofErr w:type="spellStart"/>
      <w:r w:rsidRPr="00514EBA">
        <w:rPr>
          <w:rFonts w:ascii="Garamond" w:eastAsia="Times New Roman" w:hAnsi="Garamond" w:cs="Times New Roman"/>
          <w:sz w:val="24"/>
          <w:szCs w:val="24"/>
          <w:lang w:eastAsia="hu-HU"/>
        </w:rPr>
        <w:t>Pmt</w:t>
      </w:r>
      <w:proofErr w:type="spellEnd"/>
      <w:r w:rsidRPr="00514EBA">
        <w:rPr>
          <w:rFonts w:ascii="Garamond" w:eastAsia="Times New Roman" w:hAnsi="Garamond" w:cs="Times New Roman"/>
          <w:sz w:val="24"/>
          <w:szCs w:val="24"/>
          <w:lang w:eastAsia="hu-HU"/>
        </w:rPr>
        <w:t>.</w:t>
      </w:r>
      <w:r w:rsidR="006B1A2D" w:rsidRPr="00514EBA">
        <w:rPr>
          <w:rFonts w:ascii="Garamond" w:eastAsia="Times New Roman" w:hAnsi="Garamond" w:cs="Times New Roman"/>
          <w:sz w:val="24"/>
          <w:szCs w:val="24"/>
          <w:lang w:eastAsia="hu-HU"/>
        </w:rPr>
        <w:t>”</w:t>
      </w:r>
      <w:r w:rsidRPr="00514EBA">
        <w:rPr>
          <w:rFonts w:ascii="Garamond" w:eastAsia="Times New Roman" w:hAnsi="Garamond" w:cs="Times New Roman"/>
          <w:sz w:val="24"/>
          <w:szCs w:val="24"/>
          <w:lang w:eastAsia="hu-HU"/>
        </w:rPr>
        <w:t>)</w:t>
      </w:r>
      <w:r w:rsidR="00210B07" w:rsidRPr="00514EBA">
        <w:rPr>
          <w:rFonts w:ascii="Garamond" w:eastAsia="Times New Roman" w:hAnsi="Garamond" w:cs="Times New Roman"/>
          <w:sz w:val="24"/>
          <w:szCs w:val="24"/>
          <w:lang w:eastAsia="hu-HU"/>
        </w:rPr>
        <w:t xml:space="preserve"> előírásai </w:t>
      </w:r>
      <w:r w:rsidR="006B1A2D" w:rsidRPr="00514EBA">
        <w:rPr>
          <w:rFonts w:ascii="Garamond" w:eastAsia="Times New Roman" w:hAnsi="Garamond" w:cs="Times New Roman"/>
          <w:sz w:val="24"/>
          <w:szCs w:val="24"/>
          <w:lang w:eastAsia="hu-HU"/>
        </w:rPr>
        <w:t>alapján</w:t>
      </w:r>
      <w:r w:rsidR="00210B07" w:rsidRPr="00514EBA">
        <w:rPr>
          <w:rFonts w:ascii="Garamond" w:eastAsia="Times New Roman" w:hAnsi="Garamond" w:cs="Times New Roman"/>
          <w:sz w:val="24"/>
          <w:szCs w:val="24"/>
          <w:lang w:eastAsia="hu-HU"/>
        </w:rPr>
        <w:t xml:space="preserve"> a </w:t>
      </w:r>
      <w:r w:rsidR="00210B07" w:rsidRPr="00514EBA">
        <w:rPr>
          <w:rFonts w:ascii="Garamond" w:eastAsia="Times New Roman" w:hAnsi="Garamond" w:cs="Times New Roman"/>
          <w:b/>
          <w:sz w:val="24"/>
          <w:szCs w:val="24"/>
          <w:lang w:eastAsia="hu-HU"/>
        </w:rPr>
        <w:t>nemesfém</w:t>
      </w:r>
      <w:r w:rsidR="006B1A2D" w:rsidRPr="00514EBA">
        <w:rPr>
          <w:rFonts w:ascii="Garamond" w:eastAsia="Times New Roman" w:hAnsi="Garamond" w:cs="Times New Roman"/>
          <w:b/>
          <w:sz w:val="24"/>
          <w:szCs w:val="24"/>
          <w:lang w:eastAsia="hu-HU"/>
        </w:rPr>
        <w:t xml:space="preserve">nek </w:t>
      </w:r>
      <w:r w:rsidR="00DB661E">
        <w:rPr>
          <w:rFonts w:ascii="Garamond" w:eastAsia="Times New Roman" w:hAnsi="Garamond" w:cs="Times New Roman"/>
          <w:b/>
          <w:sz w:val="24"/>
          <w:szCs w:val="24"/>
          <w:lang w:eastAsia="hu-HU"/>
        </w:rPr>
        <w:t xml:space="preserve">vagy kulturális javaknak </w:t>
      </w:r>
      <w:r w:rsidR="006B1A2D" w:rsidRPr="00514EBA">
        <w:rPr>
          <w:rFonts w:ascii="Garamond" w:eastAsia="Times New Roman" w:hAnsi="Garamond" w:cs="Times New Roman"/>
          <w:b/>
          <w:sz w:val="24"/>
          <w:szCs w:val="24"/>
          <w:lang w:eastAsia="hu-HU"/>
        </w:rPr>
        <w:t>minősülő</w:t>
      </w:r>
      <w:r w:rsidR="00210B07" w:rsidRPr="00514EBA">
        <w:rPr>
          <w:rFonts w:ascii="Garamond" w:eastAsia="Times New Roman" w:hAnsi="Garamond" w:cs="Times New Roman"/>
          <w:b/>
          <w:sz w:val="24"/>
          <w:szCs w:val="24"/>
          <w:lang w:eastAsia="hu-HU"/>
        </w:rPr>
        <w:t xml:space="preserve"> árverési tételek </w:t>
      </w:r>
      <w:r w:rsidR="00DB661E">
        <w:rPr>
          <w:rFonts w:ascii="Garamond" w:eastAsia="Times New Roman" w:hAnsi="Garamond" w:cs="Times New Roman"/>
          <w:b/>
          <w:sz w:val="24"/>
          <w:szCs w:val="24"/>
          <w:lang w:eastAsia="hu-HU"/>
        </w:rPr>
        <w:t>értékesítése</w:t>
      </w:r>
      <w:r w:rsidR="00210B07" w:rsidRPr="00514EBA">
        <w:rPr>
          <w:rFonts w:ascii="Garamond" w:eastAsia="Times New Roman" w:hAnsi="Garamond" w:cs="Times New Roman"/>
          <w:b/>
          <w:sz w:val="24"/>
          <w:szCs w:val="24"/>
          <w:lang w:eastAsia="hu-HU"/>
        </w:rPr>
        <w:t xml:space="preserve"> esetén</w:t>
      </w:r>
      <w:r w:rsidR="00210B07" w:rsidRPr="00514EBA">
        <w:rPr>
          <w:rFonts w:ascii="Garamond" w:eastAsia="Times New Roman" w:hAnsi="Garamond" w:cs="Times New Roman"/>
          <w:sz w:val="24"/>
          <w:szCs w:val="24"/>
          <w:lang w:eastAsia="hu-HU"/>
        </w:rPr>
        <w:t xml:space="preserve"> az alábbi kötelezettségeknek kell az </w:t>
      </w:r>
      <w:r w:rsidR="00C2655F">
        <w:rPr>
          <w:rFonts w:ascii="Garamond" w:eastAsia="Times New Roman" w:hAnsi="Garamond" w:cs="Times New Roman"/>
          <w:sz w:val="24"/>
          <w:szCs w:val="24"/>
          <w:lang w:eastAsia="hu-HU"/>
        </w:rPr>
        <w:t>Aukciósház</w:t>
      </w:r>
      <w:r w:rsidR="00210B07" w:rsidRPr="00514EBA">
        <w:rPr>
          <w:rFonts w:ascii="Garamond" w:eastAsia="Times New Roman" w:hAnsi="Garamond" w:cs="Times New Roman"/>
          <w:sz w:val="24"/>
          <w:szCs w:val="24"/>
          <w:lang w:eastAsia="hu-HU"/>
        </w:rPr>
        <w:t>nak eleget tennie.</w:t>
      </w:r>
    </w:p>
    <w:p w14:paraId="7FFFC917" w14:textId="0B989737" w:rsidR="00C7062F" w:rsidRPr="00514EBA" w:rsidRDefault="00210B07" w:rsidP="00F7330A">
      <w:pPr>
        <w:pStyle w:val="Listaszerbekezds"/>
        <w:numPr>
          <w:ilvl w:val="1"/>
          <w:numId w:val="3"/>
        </w:numPr>
        <w:spacing w:before="240" w:after="240" w:line="240" w:lineRule="auto"/>
        <w:ind w:left="709" w:hanging="650"/>
        <w:contextualSpacing w:val="0"/>
        <w:jc w:val="both"/>
        <w:rPr>
          <w:rFonts w:ascii="Garamond" w:eastAsia="Times New Roman" w:hAnsi="Garamond" w:cs="Times New Roman"/>
          <w:sz w:val="24"/>
          <w:szCs w:val="24"/>
          <w:lang w:eastAsia="hu-HU"/>
        </w:rPr>
      </w:pPr>
      <w:r w:rsidRPr="00514EBA">
        <w:rPr>
          <w:rFonts w:ascii="Garamond" w:eastAsia="Times New Roman" w:hAnsi="Garamond" w:cs="Times New Roman"/>
          <w:sz w:val="24"/>
          <w:szCs w:val="24"/>
          <w:lang w:eastAsia="hu-HU"/>
        </w:rPr>
        <w:t xml:space="preserve">Amennyiben </w:t>
      </w:r>
      <w:r w:rsidR="00DB661E">
        <w:rPr>
          <w:rFonts w:ascii="Garamond" w:eastAsia="Times New Roman" w:hAnsi="Garamond" w:cs="Times New Roman"/>
          <w:sz w:val="24"/>
          <w:szCs w:val="24"/>
          <w:lang w:eastAsia="hu-HU"/>
        </w:rPr>
        <w:t xml:space="preserve">nemesfém </w:t>
      </w:r>
      <w:r w:rsidR="007A2024">
        <w:rPr>
          <w:rFonts w:ascii="Garamond" w:eastAsia="Times New Roman" w:hAnsi="Garamond" w:cs="Times New Roman"/>
          <w:sz w:val="24"/>
          <w:szCs w:val="24"/>
          <w:lang w:eastAsia="hu-HU"/>
        </w:rPr>
        <w:t xml:space="preserve">árverési </w:t>
      </w:r>
      <w:proofErr w:type="gramStart"/>
      <w:r w:rsidR="007A2024">
        <w:rPr>
          <w:rFonts w:ascii="Garamond" w:eastAsia="Times New Roman" w:hAnsi="Garamond" w:cs="Times New Roman"/>
          <w:sz w:val="24"/>
          <w:szCs w:val="24"/>
          <w:lang w:eastAsia="hu-HU"/>
        </w:rPr>
        <w:t>tétel(</w:t>
      </w:r>
      <w:proofErr w:type="spellStart"/>
      <w:proofErr w:type="gramEnd"/>
      <w:r w:rsidR="007A2024">
        <w:rPr>
          <w:rFonts w:ascii="Garamond" w:eastAsia="Times New Roman" w:hAnsi="Garamond" w:cs="Times New Roman"/>
          <w:sz w:val="24"/>
          <w:szCs w:val="24"/>
          <w:lang w:eastAsia="hu-HU"/>
        </w:rPr>
        <w:t>ek</w:t>
      </w:r>
      <w:proofErr w:type="spellEnd"/>
      <w:r w:rsidR="007A2024">
        <w:rPr>
          <w:rFonts w:ascii="Garamond" w:eastAsia="Times New Roman" w:hAnsi="Garamond" w:cs="Times New Roman"/>
          <w:sz w:val="24"/>
          <w:szCs w:val="24"/>
          <w:lang w:eastAsia="hu-HU"/>
        </w:rPr>
        <w:t xml:space="preserve">) fizetése esetén </w:t>
      </w:r>
      <w:r w:rsidRPr="00514EBA">
        <w:rPr>
          <w:rFonts w:ascii="Garamond" w:eastAsia="Times New Roman" w:hAnsi="Garamond" w:cs="Times New Roman"/>
          <w:sz w:val="24"/>
          <w:szCs w:val="24"/>
          <w:lang w:eastAsia="hu-HU"/>
        </w:rPr>
        <w:t>a fizete</w:t>
      </w:r>
      <w:r w:rsidR="006B1A2D" w:rsidRPr="00514EBA">
        <w:rPr>
          <w:rFonts w:ascii="Garamond" w:eastAsia="Times New Roman" w:hAnsi="Garamond" w:cs="Times New Roman"/>
          <w:sz w:val="24"/>
          <w:szCs w:val="24"/>
          <w:lang w:eastAsia="hu-HU"/>
        </w:rPr>
        <w:t xml:space="preserve">ndő összeg (az általános forgalmi adót, illetőleg a jutalék összegét is tartalmazó) </w:t>
      </w:r>
      <w:r w:rsidRPr="00514EBA">
        <w:rPr>
          <w:rFonts w:ascii="Garamond" w:eastAsia="Times New Roman" w:hAnsi="Garamond" w:cs="Times New Roman"/>
          <w:sz w:val="24"/>
          <w:szCs w:val="24"/>
          <w:lang w:eastAsia="hu-HU"/>
        </w:rPr>
        <w:t>mértéke eléri a 300.000 Ft-ot</w:t>
      </w:r>
      <w:r w:rsidR="006B1A2D" w:rsidRPr="00514EBA">
        <w:rPr>
          <w:rFonts w:ascii="Garamond" w:eastAsia="Times New Roman" w:hAnsi="Garamond" w:cs="Times New Roman"/>
          <w:sz w:val="24"/>
          <w:szCs w:val="24"/>
          <w:lang w:eastAsia="hu-HU"/>
        </w:rPr>
        <w:t>,</w:t>
      </w:r>
      <w:r w:rsidRPr="00514EBA">
        <w:rPr>
          <w:rFonts w:ascii="Garamond" w:eastAsia="Times New Roman" w:hAnsi="Garamond" w:cs="Times New Roman"/>
          <w:sz w:val="24"/>
          <w:szCs w:val="24"/>
          <w:lang w:eastAsia="hu-HU"/>
        </w:rPr>
        <w:t xml:space="preserve"> </w:t>
      </w:r>
      <w:r w:rsidR="004929A9" w:rsidRPr="00514EBA">
        <w:rPr>
          <w:rFonts w:ascii="Garamond" w:eastAsia="Times New Roman" w:hAnsi="Garamond" w:cs="Times New Roman"/>
          <w:sz w:val="24"/>
          <w:szCs w:val="24"/>
          <w:lang w:eastAsia="hu-HU"/>
        </w:rPr>
        <w:t xml:space="preserve">de nem </w:t>
      </w:r>
      <w:r w:rsidR="006B1A2D" w:rsidRPr="00514EBA">
        <w:rPr>
          <w:rFonts w:ascii="Garamond" w:eastAsia="Times New Roman" w:hAnsi="Garamond" w:cs="Times New Roman"/>
          <w:sz w:val="24"/>
          <w:szCs w:val="24"/>
          <w:lang w:eastAsia="hu-HU"/>
        </w:rPr>
        <w:t xml:space="preserve">éri el </w:t>
      </w:r>
      <w:r w:rsidR="004929A9" w:rsidRPr="00514EBA">
        <w:rPr>
          <w:rFonts w:ascii="Garamond" w:eastAsia="Times New Roman" w:hAnsi="Garamond" w:cs="Times New Roman"/>
          <w:sz w:val="24"/>
          <w:szCs w:val="24"/>
          <w:lang w:eastAsia="hu-HU"/>
        </w:rPr>
        <w:t xml:space="preserve">a </w:t>
      </w:r>
      <w:r w:rsidR="007A2024">
        <w:rPr>
          <w:rFonts w:ascii="Garamond" w:eastAsia="Times New Roman" w:hAnsi="Garamond" w:cs="Times New Roman"/>
          <w:sz w:val="24"/>
          <w:szCs w:val="24"/>
          <w:lang w:eastAsia="hu-HU"/>
        </w:rPr>
        <w:t>4</w:t>
      </w:r>
      <w:r w:rsidR="004929A9" w:rsidRPr="00514EBA">
        <w:rPr>
          <w:rFonts w:ascii="Garamond" w:eastAsia="Times New Roman" w:hAnsi="Garamond" w:cs="Times New Roman"/>
          <w:sz w:val="24"/>
          <w:szCs w:val="24"/>
          <w:lang w:eastAsia="hu-HU"/>
        </w:rPr>
        <w:t>.</w:t>
      </w:r>
      <w:r w:rsidR="007A2024">
        <w:rPr>
          <w:rFonts w:ascii="Garamond" w:eastAsia="Times New Roman" w:hAnsi="Garamond" w:cs="Times New Roman"/>
          <w:sz w:val="24"/>
          <w:szCs w:val="24"/>
          <w:lang w:eastAsia="hu-HU"/>
        </w:rPr>
        <w:t>5</w:t>
      </w:r>
      <w:r w:rsidR="006B1A2D" w:rsidRPr="00514EBA">
        <w:rPr>
          <w:rFonts w:ascii="Garamond" w:eastAsia="Times New Roman" w:hAnsi="Garamond" w:cs="Times New Roman"/>
          <w:sz w:val="24"/>
          <w:szCs w:val="24"/>
          <w:lang w:eastAsia="hu-HU"/>
        </w:rPr>
        <w:t>00</w:t>
      </w:r>
      <w:r w:rsidR="004929A9" w:rsidRPr="00514EBA">
        <w:rPr>
          <w:rFonts w:ascii="Garamond" w:eastAsia="Times New Roman" w:hAnsi="Garamond" w:cs="Times New Roman"/>
          <w:sz w:val="24"/>
          <w:szCs w:val="24"/>
          <w:lang w:eastAsia="hu-HU"/>
        </w:rPr>
        <w:t>.</w:t>
      </w:r>
      <w:r w:rsidR="006B1A2D" w:rsidRPr="00514EBA">
        <w:rPr>
          <w:rFonts w:ascii="Garamond" w:eastAsia="Times New Roman" w:hAnsi="Garamond" w:cs="Times New Roman"/>
          <w:sz w:val="24"/>
          <w:szCs w:val="24"/>
          <w:lang w:eastAsia="hu-HU"/>
        </w:rPr>
        <w:t>000</w:t>
      </w:r>
      <w:r w:rsidR="004929A9" w:rsidRPr="00514EBA">
        <w:rPr>
          <w:rFonts w:ascii="Garamond" w:eastAsia="Times New Roman" w:hAnsi="Garamond" w:cs="Times New Roman"/>
          <w:sz w:val="24"/>
          <w:szCs w:val="24"/>
          <w:lang w:eastAsia="hu-HU"/>
        </w:rPr>
        <w:t xml:space="preserve"> Ft-ot</w:t>
      </w:r>
      <w:r w:rsidR="00F7330A" w:rsidRPr="00514EBA">
        <w:rPr>
          <w:rFonts w:ascii="Garamond" w:eastAsia="Times New Roman" w:hAnsi="Garamond" w:cs="Times New Roman"/>
          <w:sz w:val="24"/>
          <w:szCs w:val="24"/>
          <w:lang w:eastAsia="hu-HU"/>
        </w:rPr>
        <w:t>,</w:t>
      </w:r>
      <w:r w:rsidR="004929A9" w:rsidRPr="00514EBA">
        <w:rPr>
          <w:rFonts w:ascii="Garamond" w:eastAsia="Times New Roman" w:hAnsi="Garamond" w:cs="Times New Roman"/>
          <w:sz w:val="24"/>
          <w:szCs w:val="24"/>
          <w:lang w:eastAsia="hu-HU"/>
        </w:rPr>
        <w:t xml:space="preserve"> </w:t>
      </w:r>
      <w:r w:rsidRPr="00514EBA">
        <w:rPr>
          <w:rFonts w:ascii="Garamond" w:eastAsia="Times New Roman" w:hAnsi="Garamond" w:cs="Times New Roman"/>
          <w:sz w:val="24"/>
          <w:szCs w:val="24"/>
          <w:lang w:eastAsia="hu-HU"/>
        </w:rPr>
        <w:t xml:space="preserve">akkor az </w:t>
      </w:r>
      <w:r w:rsidR="00C2655F">
        <w:rPr>
          <w:rFonts w:ascii="Garamond" w:eastAsia="Times New Roman" w:hAnsi="Garamond" w:cs="Times New Roman"/>
          <w:sz w:val="24"/>
          <w:szCs w:val="24"/>
          <w:lang w:eastAsia="hu-HU"/>
        </w:rPr>
        <w:t>Aukciósház</w:t>
      </w:r>
      <w:r w:rsidRPr="00514EBA">
        <w:rPr>
          <w:rFonts w:ascii="Garamond" w:eastAsia="Times New Roman" w:hAnsi="Garamond" w:cs="Times New Roman"/>
          <w:sz w:val="24"/>
          <w:szCs w:val="24"/>
          <w:lang w:eastAsia="hu-HU"/>
        </w:rPr>
        <w:t xml:space="preserve"> rögzíti a </w:t>
      </w:r>
      <w:r w:rsidR="00F7330A" w:rsidRPr="00514EBA">
        <w:rPr>
          <w:rFonts w:ascii="Garamond" w:eastAsia="Times New Roman" w:hAnsi="Garamond" w:cs="Times New Roman"/>
          <w:sz w:val="24"/>
          <w:szCs w:val="24"/>
          <w:lang w:eastAsia="hu-HU"/>
        </w:rPr>
        <w:t>V</w:t>
      </w:r>
      <w:r w:rsidRPr="00514EBA">
        <w:rPr>
          <w:rFonts w:ascii="Garamond" w:eastAsia="Times New Roman" w:hAnsi="Garamond" w:cs="Times New Roman"/>
          <w:sz w:val="24"/>
          <w:szCs w:val="24"/>
          <w:lang w:eastAsia="hu-HU"/>
        </w:rPr>
        <w:t>evő</w:t>
      </w:r>
      <w:r w:rsidR="004929A9" w:rsidRPr="00514EBA">
        <w:rPr>
          <w:rFonts w:ascii="Garamond" w:eastAsia="Times New Roman" w:hAnsi="Garamond" w:cs="Times New Roman"/>
          <w:sz w:val="24"/>
          <w:szCs w:val="24"/>
          <w:lang w:eastAsia="hu-HU"/>
        </w:rPr>
        <w:t xml:space="preserve"> </w:t>
      </w:r>
      <w:proofErr w:type="spellStart"/>
      <w:r w:rsidR="004929A9" w:rsidRPr="00514EBA">
        <w:rPr>
          <w:rFonts w:ascii="Garamond" w:eastAsia="Times New Roman" w:hAnsi="Garamond" w:cs="Times New Roman"/>
          <w:sz w:val="24"/>
          <w:szCs w:val="24"/>
          <w:lang w:eastAsia="hu-HU"/>
        </w:rPr>
        <w:t>Pmt</w:t>
      </w:r>
      <w:proofErr w:type="spellEnd"/>
      <w:r w:rsidR="004929A9" w:rsidRPr="00514EBA">
        <w:rPr>
          <w:rFonts w:ascii="Garamond" w:eastAsia="Times New Roman" w:hAnsi="Garamond" w:cs="Times New Roman"/>
          <w:sz w:val="24"/>
          <w:szCs w:val="24"/>
          <w:lang w:eastAsia="hu-HU"/>
        </w:rPr>
        <w:t>.-</w:t>
      </w:r>
      <w:proofErr w:type="spellStart"/>
      <w:r w:rsidR="004929A9" w:rsidRPr="00514EBA">
        <w:rPr>
          <w:rFonts w:ascii="Garamond" w:eastAsia="Times New Roman" w:hAnsi="Garamond" w:cs="Times New Roman"/>
          <w:sz w:val="24"/>
          <w:szCs w:val="24"/>
          <w:lang w:eastAsia="hu-HU"/>
        </w:rPr>
        <w:t>ben</w:t>
      </w:r>
      <w:proofErr w:type="spellEnd"/>
      <w:r w:rsidR="004929A9" w:rsidRPr="00514EBA">
        <w:rPr>
          <w:rFonts w:ascii="Garamond" w:eastAsia="Times New Roman" w:hAnsi="Garamond" w:cs="Times New Roman"/>
          <w:sz w:val="24"/>
          <w:szCs w:val="24"/>
          <w:lang w:eastAsia="hu-HU"/>
        </w:rPr>
        <w:t xml:space="preserve"> előírt adatait.</w:t>
      </w:r>
    </w:p>
    <w:p w14:paraId="0ED62302" w14:textId="156E76D7" w:rsidR="004929A9" w:rsidRPr="00514EBA" w:rsidRDefault="004929A9" w:rsidP="00F7330A">
      <w:pPr>
        <w:pStyle w:val="Listaszerbekezds"/>
        <w:numPr>
          <w:ilvl w:val="1"/>
          <w:numId w:val="3"/>
        </w:numPr>
        <w:spacing w:before="240" w:after="240" w:line="240" w:lineRule="auto"/>
        <w:ind w:left="709" w:hanging="650"/>
        <w:contextualSpacing w:val="0"/>
        <w:jc w:val="both"/>
        <w:rPr>
          <w:rFonts w:ascii="Garamond" w:eastAsia="Times New Roman" w:hAnsi="Garamond" w:cs="Times New Roman"/>
          <w:sz w:val="24"/>
          <w:szCs w:val="24"/>
          <w:lang w:eastAsia="hu-HU"/>
        </w:rPr>
      </w:pPr>
      <w:r w:rsidRPr="00514EBA">
        <w:rPr>
          <w:rFonts w:ascii="Garamond" w:eastAsia="Times New Roman" w:hAnsi="Garamond" w:cs="Times New Roman"/>
          <w:sz w:val="24"/>
          <w:szCs w:val="24"/>
          <w:lang w:eastAsia="hu-HU"/>
        </w:rPr>
        <w:t xml:space="preserve">Amennyiben </w:t>
      </w:r>
      <w:r w:rsidR="007A2024">
        <w:rPr>
          <w:rFonts w:ascii="Garamond" w:eastAsia="Times New Roman" w:hAnsi="Garamond" w:cs="Times New Roman"/>
          <w:sz w:val="24"/>
          <w:szCs w:val="24"/>
          <w:lang w:eastAsia="hu-HU"/>
        </w:rPr>
        <w:t xml:space="preserve">nemesfém vagy kulturális javak körébe tartozó árverési </w:t>
      </w:r>
      <w:proofErr w:type="gramStart"/>
      <w:r w:rsidR="007A2024">
        <w:rPr>
          <w:rFonts w:ascii="Garamond" w:eastAsia="Times New Roman" w:hAnsi="Garamond" w:cs="Times New Roman"/>
          <w:sz w:val="24"/>
          <w:szCs w:val="24"/>
          <w:lang w:eastAsia="hu-HU"/>
        </w:rPr>
        <w:t>tétel(</w:t>
      </w:r>
      <w:proofErr w:type="spellStart"/>
      <w:proofErr w:type="gramEnd"/>
      <w:r w:rsidR="007A2024">
        <w:rPr>
          <w:rFonts w:ascii="Garamond" w:eastAsia="Times New Roman" w:hAnsi="Garamond" w:cs="Times New Roman"/>
          <w:sz w:val="24"/>
          <w:szCs w:val="24"/>
          <w:lang w:eastAsia="hu-HU"/>
        </w:rPr>
        <w:t>ek</w:t>
      </w:r>
      <w:proofErr w:type="spellEnd"/>
      <w:r w:rsidR="007A2024">
        <w:rPr>
          <w:rFonts w:ascii="Garamond" w:eastAsia="Times New Roman" w:hAnsi="Garamond" w:cs="Times New Roman"/>
          <w:sz w:val="24"/>
          <w:szCs w:val="24"/>
          <w:lang w:eastAsia="hu-HU"/>
        </w:rPr>
        <w:t xml:space="preserve">) fizetése esetén </w:t>
      </w:r>
      <w:r w:rsidRPr="00514EBA">
        <w:rPr>
          <w:rFonts w:ascii="Garamond" w:eastAsia="Times New Roman" w:hAnsi="Garamond" w:cs="Times New Roman"/>
          <w:sz w:val="24"/>
          <w:szCs w:val="24"/>
          <w:lang w:eastAsia="hu-HU"/>
        </w:rPr>
        <w:t xml:space="preserve">a </w:t>
      </w:r>
      <w:r w:rsidR="006B1A2D" w:rsidRPr="00514EBA">
        <w:rPr>
          <w:rFonts w:ascii="Garamond" w:eastAsia="Times New Roman" w:hAnsi="Garamond" w:cs="Times New Roman"/>
          <w:sz w:val="24"/>
          <w:szCs w:val="24"/>
          <w:lang w:eastAsia="hu-HU"/>
        </w:rPr>
        <w:t xml:space="preserve">fizetendő összeg </w:t>
      </w:r>
      <w:r w:rsidRPr="00514EBA">
        <w:rPr>
          <w:rFonts w:ascii="Garamond" w:eastAsia="Times New Roman" w:hAnsi="Garamond" w:cs="Times New Roman"/>
          <w:sz w:val="24"/>
          <w:szCs w:val="24"/>
          <w:lang w:eastAsia="hu-HU"/>
        </w:rPr>
        <w:t xml:space="preserve">mértéke </w:t>
      </w:r>
      <w:r w:rsidR="00F7330A" w:rsidRPr="00514EBA">
        <w:rPr>
          <w:rFonts w:ascii="Garamond" w:eastAsia="Times New Roman" w:hAnsi="Garamond" w:cs="Times New Roman"/>
          <w:sz w:val="24"/>
          <w:szCs w:val="24"/>
          <w:lang w:eastAsia="hu-HU"/>
        </w:rPr>
        <w:t xml:space="preserve">(akár egy ügylet, vagyis leütés esetében, akár több, a 8.2 pontban írt ügylet egy naptári éven belüli összesítése során) </w:t>
      </w:r>
      <w:r w:rsidRPr="00514EBA">
        <w:rPr>
          <w:rFonts w:ascii="Garamond" w:eastAsia="Times New Roman" w:hAnsi="Garamond" w:cs="Times New Roman"/>
          <w:sz w:val="24"/>
          <w:szCs w:val="24"/>
          <w:lang w:eastAsia="hu-HU"/>
        </w:rPr>
        <w:t xml:space="preserve">eléri a </w:t>
      </w:r>
      <w:r w:rsidR="007A2024">
        <w:rPr>
          <w:rFonts w:ascii="Garamond" w:eastAsia="Times New Roman" w:hAnsi="Garamond" w:cs="Times New Roman"/>
          <w:sz w:val="24"/>
          <w:szCs w:val="24"/>
          <w:lang w:eastAsia="hu-HU"/>
        </w:rPr>
        <w:t>4</w:t>
      </w:r>
      <w:r w:rsidRPr="00514EBA">
        <w:rPr>
          <w:rFonts w:ascii="Garamond" w:eastAsia="Times New Roman" w:hAnsi="Garamond" w:cs="Times New Roman"/>
          <w:sz w:val="24"/>
          <w:szCs w:val="24"/>
          <w:lang w:eastAsia="hu-HU"/>
        </w:rPr>
        <w:t>.</w:t>
      </w:r>
      <w:r w:rsidR="007A2024">
        <w:rPr>
          <w:rFonts w:ascii="Garamond" w:eastAsia="Times New Roman" w:hAnsi="Garamond" w:cs="Times New Roman"/>
          <w:sz w:val="24"/>
          <w:szCs w:val="24"/>
          <w:lang w:eastAsia="hu-HU"/>
        </w:rPr>
        <w:t>5</w:t>
      </w:r>
      <w:r w:rsidRPr="00514EBA">
        <w:rPr>
          <w:rFonts w:ascii="Garamond" w:eastAsia="Times New Roman" w:hAnsi="Garamond" w:cs="Times New Roman"/>
          <w:sz w:val="24"/>
          <w:szCs w:val="24"/>
          <w:lang w:eastAsia="hu-HU"/>
        </w:rPr>
        <w:t>00.000 Ft-ot</w:t>
      </w:r>
      <w:r w:rsidR="00F7330A" w:rsidRPr="00514EBA">
        <w:rPr>
          <w:rFonts w:ascii="Garamond" w:eastAsia="Times New Roman" w:hAnsi="Garamond" w:cs="Times New Roman"/>
          <w:sz w:val="24"/>
          <w:szCs w:val="24"/>
          <w:lang w:eastAsia="hu-HU"/>
        </w:rPr>
        <w:t>,</w:t>
      </w:r>
      <w:r w:rsidRPr="00514EBA">
        <w:rPr>
          <w:rFonts w:ascii="Garamond" w:eastAsia="Times New Roman" w:hAnsi="Garamond" w:cs="Times New Roman"/>
          <w:sz w:val="24"/>
          <w:szCs w:val="24"/>
          <w:lang w:eastAsia="hu-HU"/>
        </w:rPr>
        <w:t xml:space="preserve"> </w:t>
      </w:r>
      <w:r w:rsidR="001429F8" w:rsidRPr="00514EBA">
        <w:rPr>
          <w:rFonts w:ascii="Garamond" w:eastAsia="Times New Roman" w:hAnsi="Garamond" w:cs="Times New Roman"/>
          <w:sz w:val="24"/>
          <w:szCs w:val="24"/>
          <w:lang w:eastAsia="hu-HU"/>
        </w:rPr>
        <w:t xml:space="preserve">az </w:t>
      </w:r>
      <w:r w:rsidR="00C2655F">
        <w:rPr>
          <w:rFonts w:ascii="Garamond" w:eastAsia="Times New Roman" w:hAnsi="Garamond" w:cs="Times New Roman"/>
          <w:sz w:val="24"/>
          <w:szCs w:val="24"/>
          <w:lang w:eastAsia="hu-HU"/>
        </w:rPr>
        <w:t>Aukciósház</w:t>
      </w:r>
      <w:r w:rsidR="001429F8" w:rsidRPr="00514EBA">
        <w:rPr>
          <w:rFonts w:ascii="Garamond" w:eastAsia="Times New Roman" w:hAnsi="Garamond" w:cs="Times New Roman"/>
          <w:sz w:val="24"/>
          <w:szCs w:val="24"/>
          <w:lang w:eastAsia="hu-HU"/>
        </w:rPr>
        <w:t xml:space="preserve"> a </w:t>
      </w:r>
      <w:proofErr w:type="spellStart"/>
      <w:r w:rsidR="001429F8" w:rsidRPr="00514EBA">
        <w:rPr>
          <w:rFonts w:ascii="Garamond" w:eastAsia="Times New Roman" w:hAnsi="Garamond" w:cs="Times New Roman"/>
          <w:sz w:val="24"/>
          <w:szCs w:val="24"/>
          <w:lang w:eastAsia="hu-HU"/>
        </w:rPr>
        <w:t>Pmt</w:t>
      </w:r>
      <w:proofErr w:type="spellEnd"/>
      <w:r w:rsidR="001429F8" w:rsidRPr="00514EBA">
        <w:rPr>
          <w:rFonts w:ascii="Garamond" w:eastAsia="Times New Roman" w:hAnsi="Garamond" w:cs="Times New Roman"/>
          <w:sz w:val="24"/>
          <w:szCs w:val="24"/>
          <w:lang w:eastAsia="hu-HU"/>
        </w:rPr>
        <w:t xml:space="preserve">. alapján köteles </w:t>
      </w:r>
      <w:r w:rsidR="007A2024">
        <w:rPr>
          <w:rFonts w:ascii="Garamond" w:eastAsia="Times New Roman" w:hAnsi="Garamond" w:cs="Times New Roman"/>
          <w:sz w:val="24"/>
          <w:szCs w:val="24"/>
          <w:lang w:eastAsia="hu-HU"/>
        </w:rPr>
        <w:t>ügyfél-</w:t>
      </w:r>
      <w:r w:rsidR="001429F8" w:rsidRPr="00514EBA">
        <w:rPr>
          <w:rFonts w:ascii="Garamond" w:eastAsia="Times New Roman" w:hAnsi="Garamond" w:cs="Times New Roman"/>
          <w:sz w:val="24"/>
          <w:szCs w:val="24"/>
          <w:lang w:eastAsia="hu-HU"/>
        </w:rPr>
        <w:t>átvilágít</w:t>
      </w:r>
      <w:r w:rsidR="007A2024">
        <w:rPr>
          <w:rFonts w:ascii="Garamond" w:eastAsia="Times New Roman" w:hAnsi="Garamond" w:cs="Times New Roman"/>
          <w:sz w:val="24"/>
          <w:szCs w:val="24"/>
          <w:lang w:eastAsia="hu-HU"/>
        </w:rPr>
        <w:t>ást végrehajta</w:t>
      </w:r>
      <w:r w:rsidR="001429F8" w:rsidRPr="00514EBA">
        <w:rPr>
          <w:rFonts w:ascii="Garamond" w:eastAsia="Times New Roman" w:hAnsi="Garamond" w:cs="Times New Roman"/>
          <w:sz w:val="24"/>
          <w:szCs w:val="24"/>
          <w:lang w:eastAsia="hu-HU"/>
        </w:rPr>
        <w:t>ni a Vevő</w:t>
      </w:r>
      <w:r w:rsidR="007A2024">
        <w:rPr>
          <w:rFonts w:ascii="Garamond" w:eastAsia="Times New Roman" w:hAnsi="Garamond" w:cs="Times New Roman"/>
          <w:sz w:val="24"/>
          <w:szCs w:val="24"/>
          <w:lang w:eastAsia="hu-HU"/>
        </w:rPr>
        <w:t xml:space="preserve"> vonatkozásában</w:t>
      </w:r>
      <w:r w:rsidR="00104331" w:rsidRPr="00514EBA">
        <w:rPr>
          <w:rFonts w:ascii="Garamond" w:eastAsia="Times New Roman" w:hAnsi="Garamond" w:cs="Times New Roman"/>
          <w:sz w:val="24"/>
          <w:szCs w:val="24"/>
          <w:lang w:eastAsia="hu-HU"/>
        </w:rPr>
        <w:t xml:space="preserve">, </w:t>
      </w:r>
      <w:r w:rsidR="00F7330A" w:rsidRPr="00514EBA">
        <w:rPr>
          <w:rFonts w:ascii="Garamond" w:eastAsia="Times New Roman" w:hAnsi="Garamond" w:cs="Times New Roman"/>
          <w:sz w:val="24"/>
          <w:szCs w:val="24"/>
          <w:lang w:eastAsia="hu-HU"/>
        </w:rPr>
        <w:t>amelyn</w:t>
      </w:r>
      <w:r w:rsidR="00104331" w:rsidRPr="00514EBA">
        <w:rPr>
          <w:rFonts w:ascii="Garamond" w:eastAsia="Times New Roman" w:hAnsi="Garamond" w:cs="Times New Roman"/>
          <w:sz w:val="24"/>
          <w:szCs w:val="24"/>
          <w:lang w:eastAsia="hu-HU"/>
        </w:rPr>
        <w:t>ek keretében okiratok másolás</w:t>
      </w:r>
      <w:r w:rsidR="00281755" w:rsidRPr="00514EBA">
        <w:rPr>
          <w:rFonts w:ascii="Garamond" w:eastAsia="Times New Roman" w:hAnsi="Garamond" w:cs="Times New Roman"/>
          <w:sz w:val="24"/>
          <w:szCs w:val="24"/>
          <w:lang w:eastAsia="hu-HU"/>
        </w:rPr>
        <w:t>a</w:t>
      </w:r>
      <w:r w:rsidR="00104331" w:rsidRPr="00514EBA">
        <w:rPr>
          <w:rFonts w:ascii="Garamond" w:eastAsia="Times New Roman" w:hAnsi="Garamond" w:cs="Times New Roman"/>
          <w:sz w:val="24"/>
          <w:szCs w:val="24"/>
          <w:lang w:eastAsia="hu-HU"/>
        </w:rPr>
        <w:t xml:space="preserve"> és űrlapok kitöltése válik szükségessé.</w:t>
      </w:r>
    </w:p>
    <w:p w14:paraId="3BCD1B2E" w14:textId="1E5F999B" w:rsidR="00F7330A" w:rsidRPr="00514EBA" w:rsidRDefault="00F7330A" w:rsidP="00F7330A">
      <w:pPr>
        <w:pStyle w:val="Listaszerbekezds"/>
        <w:numPr>
          <w:ilvl w:val="1"/>
          <w:numId w:val="3"/>
        </w:numPr>
        <w:spacing w:before="240" w:after="240" w:line="240" w:lineRule="auto"/>
        <w:ind w:left="709" w:hanging="650"/>
        <w:contextualSpacing w:val="0"/>
        <w:jc w:val="both"/>
        <w:rPr>
          <w:rFonts w:ascii="Garamond" w:eastAsia="Times New Roman" w:hAnsi="Garamond" w:cs="Times New Roman"/>
          <w:sz w:val="24"/>
          <w:szCs w:val="24"/>
          <w:lang w:eastAsia="hu-HU"/>
        </w:rPr>
      </w:pPr>
      <w:r w:rsidRPr="00514EBA">
        <w:rPr>
          <w:rFonts w:ascii="Garamond" w:eastAsia="Times New Roman" w:hAnsi="Garamond" w:cs="Times New Roman"/>
          <w:sz w:val="24"/>
          <w:szCs w:val="24"/>
          <w:lang w:eastAsia="hu-HU"/>
        </w:rPr>
        <w:t>A törvényi kötelezettség teljesítésének megtagadása esetén az ügylet nem teljesíthető, az adásvételi szerződés meghiúsul, és az érintett árverési tétel árverezése újrakezdhető.</w:t>
      </w:r>
    </w:p>
    <w:p w14:paraId="4A4896EB" w14:textId="4EBC2C14" w:rsidR="00D937F5" w:rsidRPr="00514EBA" w:rsidRDefault="0089572D" w:rsidP="007A0595">
      <w:pPr>
        <w:pStyle w:val="Listaszerbekezds"/>
        <w:numPr>
          <w:ilvl w:val="0"/>
          <w:numId w:val="3"/>
        </w:numPr>
        <w:spacing w:before="240" w:after="240" w:line="240" w:lineRule="auto"/>
        <w:contextualSpacing w:val="0"/>
        <w:jc w:val="both"/>
        <w:rPr>
          <w:rFonts w:ascii="Garamond" w:eastAsia="Times New Roman" w:hAnsi="Garamond" w:cs="Times New Roman"/>
          <w:b/>
          <w:bCs/>
          <w:sz w:val="24"/>
          <w:szCs w:val="24"/>
          <w:lang w:eastAsia="hu-HU"/>
        </w:rPr>
      </w:pPr>
      <w:r w:rsidRPr="00514EBA">
        <w:rPr>
          <w:rFonts w:ascii="Garamond" w:eastAsia="Times New Roman" w:hAnsi="Garamond" w:cs="Times New Roman"/>
          <w:b/>
          <w:bCs/>
          <w:sz w:val="24"/>
          <w:szCs w:val="24"/>
          <w:lang w:eastAsia="hu-HU"/>
        </w:rPr>
        <w:t>Távollevő Árverési vevők</w:t>
      </w:r>
      <w:bookmarkEnd w:id="7"/>
    </w:p>
    <w:p w14:paraId="3C5882AF" w14:textId="57D26907" w:rsidR="00DC192C" w:rsidRPr="00514EBA" w:rsidRDefault="00DC192C"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Amennyiben ugyanarra az árverési tételre harmadik személy </w:t>
      </w:r>
      <w:r>
        <w:rPr>
          <w:rFonts w:ascii="Garamond" w:hAnsi="Garamond"/>
          <w:sz w:val="24"/>
        </w:rPr>
        <w:t>azonos</w:t>
      </w:r>
      <w:r w:rsidRPr="00514EBA">
        <w:rPr>
          <w:rFonts w:ascii="Garamond" w:hAnsi="Garamond"/>
          <w:sz w:val="24"/>
        </w:rPr>
        <w:t xml:space="preserve"> összegű megbízást ad</w:t>
      </w:r>
      <w:r>
        <w:rPr>
          <w:rFonts w:ascii="Garamond" w:hAnsi="Garamond"/>
          <w:sz w:val="24"/>
        </w:rPr>
        <w:t xml:space="preserve">, úgy az </w:t>
      </w:r>
      <w:r w:rsidR="00C2655F">
        <w:rPr>
          <w:rFonts w:ascii="Garamond" w:hAnsi="Garamond"/>
          <w:sz w:val="24"/>
        </w:rPr>
        <w:t>Aukciósház</w:t>
      </w:r>
      <w:r>
        <w:rPr>
          <w:rFonts w:ascii="Garamond" w:hAnsi="Garamond"/>
          <w:sz w:val="24"/>
        </w:rPr>
        <w:t xml:space="preserve"> a korábban adott vételi megbízást képviseli.</w:t>
      </w:r>
    </w:p>
    <w:p w14:paraId="70D95C43" w14:textId="7D4348CA"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8" w:name="content_felelossegvallalas"/>
      <w:bookmarkStart w:id="9" w:name="_GoBack"/>
      <w:bookmarkEnd w:id="9"/>
      <w:r w:rsidRPr="00514EBA">
        <w:rPr>
          <w:rFonts w:ascii="Garamond" w:hAnsi="Garamond"/>
          <w:b/>
          <w:sz w:val="24"/>
        </w:rPr>
        <w:t>Felelősségvállalás</w:t>
      </w:r>
      <w:bookmarkEnd w:id="8"/>
    </w:p>
    <w:p w14:paraId="5DB55A84" w14:textId="61691432"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 Leütési ár az Árverési vevők nyilvános vételi ajánlatai alapján alakul ki, ezért az árverési tétel Leütési áráért az </w:t>
      </w:r>
      <w:r w:rsidR="00C2655F">
        <w:rPr>
          <w:rFonts w:ascii="Garamond" w:hAnsi="Garamond"/>
          <w:sz w:val="24"/>
        </w:rPr>
        <w:t>Aukciósház</w:t>
      </w:r>
      <w:r w:rsidRPr="00514EBA">
        <w:rPr>
          <w:rFonts w:ascii="Garamond" w:hAnsi="Garamond"/>
          <w:sz w:val="24"/>
        </w:rPr>
        <w:t xml:space="preserve"> felelősséggel nem tartozik. Az </w:t>
      </w:r>
      <w:r w:rsidR="00C2655F">
        <w:rPr>
          <w:rFonts w:ascii="Garamond" w:hAnsi="Garamond"/>
          <w:sz w:val="24"/>
        </w:rPr>
        <w:t>Aukciósház</w:t>
      </w:r>
      <w:r w:rsidRPr="00514EBA">
        <w:rPr>
          <w:rFonts w:ascii="Garamond" w:hAnsi="Garamond"/>
          <w:sz w:val="24"/>
        </w:rPr>
        <w:t xml:space="preserve"> nem vállal kötelezettséget arra, hogy ugyanazt az árverési tételt azonos áron a későbbiek során árverésre bocsátja.</w:t>
      </w:r>
    </w:p>
    <w:p w14:paraId="115E749D" w14:textId="739FEEB2"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Árverési vevő köteles az árverést megelőzően meggyőződni az árverési tétel állapotáról és arról, hogy az összhangban áll a Katalógusban foglaltakkal. Erre, illetve az értékesítésre kerülő árverési tételek sajátosságaira (használt jelleg, kor, stb.) tekintettel az </w:t>
      </w:r>
      <w:r w:rsidR="00C2655F">
        <w:rPr>
          <w:rFonts w:ascii="Garamond" w:hAnsi="Garamond"/>
          <w:sz w:val="24"/>
        </w:rPr>
        <w:t>Aukciósház</w:t>
      </w:r>
      <w:r w:rsidRPr="00514EBA">
        <w:rPr>
          <w:rFonts w:ascii="Garamond" w:hAnsi="Garamond"/>
          <w:sz w:val="24"/>
        </w:rPr>
        <w:t xml:space="preserve"> nem vállal felelősséget az árverési tételek hibáiért, hiányosságaiért; az Árverési vevők az árverési tételek hibái miatt az árverést követően kellékszavatossági igényt nem érvényesíthetnek az </w:t>
      </w:r>
      <w:r w:rsidR="00C2655F">
        <w:rPr>
          <w:rFonts w:ascii="Garamond" w:hAnsi="Garamond"/>
          <w:sz w:val="24"/>
        </w:rPr>
        <w:t>Aukciósház</w:t>
      </w:r>
      <w:r w:rsidRPr="00514EBA">
        <w:rPr>
          <w:rFonts w:ascii="Garamond" w:hAnsi="Garamond"/>
          <w:sz w:val="24"/>
        </w:rPr>
        <w:t>zal szemben.</w:t>
      </w:r>
    </w:p>
    <w:p w14:paraId="6FAC6BC5" w14:textId="3AA0A224"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Az </w:t>
      </w:r>
      <w:r w:rsidR="00C2655F">
        <w:rPr>
          <w:rFonts w:ascii="Garamond" w:hAnsi="Garamond"/>
          <w:sz w:val="24"/>
        </w:rPr>
        <w:t>Aukciósház</w:t>
      </w:r>
      <w:r w:rsidRPr="00514EBA">
        <w:rPr>
          <w:rFonts w:ascii="Garamond" w:hAnsi="Garamond"/>
          <w:sz w:val="24"/>
        </w:rPr>
        <w:t xml:space="preserve"> felelősséget vállal az árverésen értékesített műtárgyak eredetisége tekintetében. </w:t>
      </w:r>
      <w:proofErr w:type="gramStart"/>
      <w:r w:rsidRPr="00514EBA">
        <w:rPr>
          <w:rFonts w:ascii="Garamond" w:hAnsi="Garamond"/>
          <w:sz w:val="24"/>
        </w:rPr>
        <w:t xml:space="preserve">A Vevő a megvásárolt műtárgy eredetiségével kapcsolatban felmerülő első megalapozott kétely tudomására jutásától számított 30 napon belül, de legkésőbb az árverés napjától számított 3 éves jogvesztő határidőn belül – tekintettel arra is, hogy ezen időtartam alatt a Vevő a műtárgy eredetiségének vizsgálatát elvégez(tet)heti – köteles írásban az </w:t>
      </w:r>
      <w:r w:rsidR="00C2655F">
        <w:rPr>
          <w:rFonts w:ascii="Garamond" w:hAnsi="Garamond"/>
          <w:sz w:val="24"/>
        </w:rPr>
        <w:t>Aukciósház</w:t>
      </w:r>
      <w:r w:rsidRPr="00514EBA">
        <w:rPr>
          <w:rFonts w:ascii="Garamond" w:hAnsi="Garamond"/>
          <w:sz w:val="24"/>
        </w:rPr>
        <w:t>hoz fordulni, megjelölve az árverés időpontját és a tárgy Katalógusban feltüntetett tételszámát vagy más, egyedi azonosításra alkalmas adatokat, valamint azokat az okokat, amelyek alapján a műtárgy eredetiségét kétségbe vonja.</w:t>
      </w:r>
      <w:proofErr w:type="gramEnd"/>
    </w:p>
    <w:p w14:paraId="44AF625F" w14:textId="220263EB" w:rsidR="0089572D" w:rsidRPr="00514EBA" w:rsidRDefault="0089572D" w:rsidP="00A648D0">
      <w:pPr>
        <w:spacing w:before="240" w:after="240" w:line="240" w:lineRule="auto"/>
        <w:ind w:left="709"/>
        <w:jc w:val="both"/>
        <w:rPr>
          <w:rFonts w:ascii="Garamond" w:hAnsi="Garamond"/>
          <w:sz w:val="24"/>
        </w:rPr>
      </w:pPr>
      <w:r w:rsidRPr="00514EBA">
        <w:rPr>
          <w:rFonts w:ascii="Garamond" w:hAnsi="Garamond"/>
          <w:sz w:val="24"/>
        </w:rPr>
        <w:t xml:space="preserve">Amennyiben az </w:t>
      </w:r>
      <w:r w:rsidR="00C2655F">
        <w:rPr>
          <w:rFonts w:ascii="Garamond" w:hAnsi="Garamond"/>
          <w:sz w:val="24"/>
        </w:rPr>
        <w:t>Aukciósház</w:t>
      </w:r>
      <w:r w:rsidRPr="00514EBA">
        <w:rPr>
          <w:rFonts w:ascii="Garamond" w:hAnsi="Garamond"/>
          <w:sz w:val="24"/>
        </w:rPr>
        <w:t xml:space="preserve"> és a Vevő által kölcsönösen elfogadot</w:t>
      </w:r>
      <w:r w:rsidR="00514EBA">
        <w:rPr>
          <w:rFonts w:ascii="Garamond" w:hAnsi="Garamond"/>
          <w:sz w:val="24"/>
        </w:rPr>
        <w:t xml:space="preserve">t, az adott területen elismert </w:t>
      </w:r>
      <w:r w:rsidRPr="00514EBA">
        <w:rPr>
          <w:rFonts w:ascii="Garamond" w:hAnsi="Garamond"/>
          <w:sz w:val="24"/>
        </w:rPr>
        <w:t xml:space="preserve">szakértő indokolt írásbeli állásfoglalásban megállapítja, hogy a műtárgy nem eredeti, az </w:t>
      </w:r>
      <w:r w:rsidR="00C2655F">
        <w:rPr>
          <w:rFonts w:ascii="Garamond" w:hAnsi="Garamond"/>
          <w:sz w:val="24"/>
        </w:rPr>
        <w:t>Aukciósház</w:t>
      </w:r>
      <w:r w:rsidRPr="00514EBA">
        <w:rPr>
          <w:rFonts w:ascii="Garamond" w:hAnsi="Garamond"/>
          <w:sz w:val="24"/>
        </w:rPr>
        <w:t xml:space="preserve"> vállalja, hogy – az eredeti állapot helyreállítása körében – a műtárgy vételárát visszafizeti a Vevőnek, ha a Vevő a műtárgy igénymentes birtoklásának jogát biztosítja, illetve a műtárgy tehermentes tulajdonjogát az </w:t>
      </w:r>
      <w:r w:rsidR="00C2655F">
        <w:rPr>
          <w:rFonts w:ascii="Garamond" w:hAnsi="Garamond"/>
          <w:sz w:val="24"/>
        </w:rPr>
        <w:t>Aukciósház</w:t>
      </w:r>
      <w:r w:rsidRPr="00514EBA">
        <w:rPr>
          <w:rFonts w:ascii="Garamond" w:hAnsi="Garamond"/>
          <w:sz w:val="24"/>
        </w:rPr>
        <w:t xml:space="preserve">ra átruházza. Amennyiben a visszaszolgáltatni kívánt műtárgyon kár, sérülés, stb. mutatkozik úgy az </w:t>
      </w:r>
      <w:r w:rsidR="00C2655F">
        <w:rPr>
          <w:rFonts w:ascii="Garamond" w:hAnsi="Garamond"/>
          <w:sz w:val="24"/>
        </w:rPr>
        <w:t>Aukciósház</w:t>
      </w:r>
      <w:r w:rsidRPr="00514EBA">
        <w:rPr>
          <w:rFonts w:ascii="Garamond" w:hAnsi="Garamond"/>
          <w:sz w:val="24"/>
        </w:rPr>
        <w:t xml:space="preserve"> jogosult ennek általa megállapított összegét beszámítani a visszafizetendő vételárba. Amennyiben a műtárggyal és/vagy azt érintően a műtárgy tulajdonosával, birtokosával szemben kívülálló harmadik személy bármely okból igényt támaszt, az igény rendezéséig az </w:t>
      </w:r>
      <w:r w:rsidR="00C2655F">
        <w:rPr>
          <w:rFonts w:ascii="Garamond" w:hAnsi="Garamond"/>
          <w:sz w:val="24"/>
        </w:rPr>
        <w:t>Aukciósház</w:t>
      </w:r>
      <w:r w:rsidRPr="00514EBA">
        <w:rPr>
          <w:rFonts w:ascii="Garamond" w:hAnsi="Garamond"/>
          <w:sz w:val="24"/>
        </w:rPr>
        <w:t xml:space="preserve"> jogosult az eredeti állapot helyreállításával kapcsolatos eljárást felfüggeszteni.</w:t>
      </w:r>
    </w:p>
    <w:p w14:paraId="175DAF74" w14:textId="50BFF22E" w:rsidR="0089572D" w:rsidRPr="00514EBA" w:rsidRDefault="0089572D" w:rsidP="00A648D0">
      <w:pPr>
        <w:spacing w:before="240" w:after="240" w:line="240" w:lineRule="auto"/>
        <w:ind w:left="709"/>
        <w:jc w:val="both"/>
        <w:rPr>
          <w:rFonts w:ascii="Garamond" w:hAnsi="Garamond"/>
          <w:sz w:val="24"/>
        </w:rPr>
      </w:pPr>
      <w:r w:rsidRPr="00514EBA">
        <w:rPr>
          <w:rFonts w:ascii="Garamond" w:hAnsi="Garamond"/>
          <w:sz w:val="24"/>
        </w:rPr>
        <w:t>Az eredetiséggel és/vagy a műtárgyat ért károsodás, értékcsökkenés mértékével kapcsolatos szakértői eljárás indokolt költségét a Vevő köteles megelőlegezni, valamint viselni, kivéve, ha a szakértői vélemény a műtárgyat hamisítványnak találj</w:t>
      </w:r>
      <w:r w:rsidR="00A96D90">
        <w:rPr>
          <w:rFonts w:ascii="Garamond" w:hAnsi="Garamond"/>
          <w:sz w:val="24"/>
        </w:rPr>
        <w:t>a</w:t>
      </w:r>
      <w:r w:rsidRPr="00514EBA">
        <w:rPr>
          <w:rFonts w:ascii="Garamond" w:hAnsi="Garamond"/>
          <w:sz w:val="24"/>
        </w:rPr>
        <w:t xml:space="preserve">. Amennyiben a Vevő külföldi eredetű műtárgy esetében külföldi szakértőt (intézetet) kíván igénybe venni, ilyen szakértő személyéről a felek közösen döntenek. A Vevő köteles a külföldön és/vagy a külföldi szakértő által belföldön elvégzendő vizsgálattal kapcsolatban előre látható költségek előlegezésére és a tárgy eredetiségének megállapítása esetén a viselésére is. Ugyanez a rendelkezés irányadó a külföldi okiratok (szakvélemény) magyarországi hitelesítési költségeinek előlegezésére és viselésére is. A várható költségekről az </w:t>
      </w:r>
      <w:r w:rsidR="00C2655F">
        <w:rPr>
          <w:rFonts w:ascii="Garamond" w:hAnsi="Garamond"/>
          <w:sz w:val="24"/>
        </w:rPr>
        <w:t>Aukciósház</w:t>
      </w:r>
      <w:r w:rsidRPr="00514EBA">
        <w:rPr>
          <w:rFonts w:ascii="Garamond" w:hAnsi="Garamond"/>
          <w:sz w:val="24"/>
        </w:rPr>
        <w:t xml:space="preserve"> a Vevőt kötelezettségvállalás nélkül tájékoztatja. A költségek előlegezése és viselése a költségek fizetési pénznemében történik.</w:t>
      </w:r>
      <w:r w:rsidR="00D51874" w:rsidRPr="00514EBA">
        <w:rPr>
          <w:rFonts w:ascii="Garamond" w:hAnsi="Garamond"/>
          <w:sz w:val="24"/>
        </w:rPr>
        <w:t xml:space="preserve"> </w:t>
      </w:r>
      <w:r w:rsidRPr="00514EBA">
        <w:rPr>
          <w:rFonts w:ascii="Garamond" w:hAnsi="Garamond"/>
          <w:sz w:val="24"/>
        </w:rPr>
        <w:t>Az árverési tétel nem minősíthető hamisítványnak amiatt, hogy az restaurált.</w:t>
      </w:r>
    </w:p>
    <w:p w14:paraId="0020BFEC" w14:textId="6EBAB74F"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 xml:space="preserve">Nem követelheti a Vevő az </w:t>
      </w:r>
      <w:r w:rsidR="00C2655F">
        <w:rPr>
          <w:rFonts w:ascii="Garamond" w:hAnsi="Garamond"/>
          <w:sz w:val="24"/>
        </w:rPr>
        <w:t>Aukciósház</w:t>
      </w:r>
      <w:r w:rsidRPr="00514EBA">
        <w:rPr>
          <w:rFonts w:ascii="Garamond" w:hAnsi="Garamond"/>
          <w:sz w:val="24"/>
        </w:rPr>
        <w:t>tól, hogy a hamisnak bizonyuló műtárgyat visszavegye, amennyiben</w:t>
      </w:r>
    </w:p>
    <w:p w14:paraId="036F7EDB" w14:textId="78265D98" w:rsidR="0089572D" w:rsidRPr="00514EBA" w:rsidRDefault="0089572D" w:rsidP="00A648D0">
      <w:pPr>
        <w:pStyle w:val="Listaszerbekezds"/>
        <w:numPr>
          <w:ilvl w:val="0"/>
          <w:numId w:val="4"/>
        </w:numPr>
        <w:spacing w:before="240" w:after="240" w:line="240" w:lineRule="auto"/>
        <w:ind w:left="1134"/>
        <w:contextualSpacing w:val="0"/>
        <w:jc w:val="both"/>
        <w:rPr>
          <w:rFonts w:ascii="Garamond" w:hAnsi="Garamond"/>
          <w:sz w:val="24"/>
        </w:rPr>
      </w:pPr>
      <w:r w:rsidRPr="00514EBA">
        <w:rPr>
          <w:rFonts w:ascii="Garamond" w:hAnsi="Garamond"/>
          <w:sz w:val="24"/>
        </w:rPr>
        <w:t>az árverés időpontjában a Katalógus leírása összhangban állt az általánosan elfogadott szakértői véleményekkel, vagy a Katalógus feltüntette a szakértői vélemények különbözőségét;</w:t>
      </w:r>
    </w:p>
    <w:p w14:paraId="67623AED" w14:textId="6574462B" w:rsidR="0089572D" w:rsidRPr="00514EBA" w:rsidRDefault="0089572D" w:rsidP="00A648D0">
      <w:pPr>
        <w:pStyle w:val="Listaszerbekezds"/>
        <w:numPr>
          <w:ilvl w:val="0"/>
          <w:numId w:val="4"/>
        </w:numPr>
        <w:spacing w:before="240" w:after="240" w:line="240" w:lineRule="auto"/>
        <w:ind w:left="1134"/>
        <w:contextualSpacing w:val="0"/>
        <w:jc w:val="both"/>
        <w:rPr>
          <w:rFonts w:ascii="Garamond" w:hAnsi="Garamond"/>
          <w:sz w:val="24"/>
        </w:rPr>
      </w:pPr>
      <w:r w:rsidRPr="00514EBA">
        <w:rPr>
          <w:rFonts w:ascii="Garamond" w:hAnsi="Garamond"/>
          <w:sz w:val="24"/>
        </w:rPr>
        <w:t xml:space="preserve">a műtárgy hamisítvány voltának megállapítására szolgáló egyetlen módszer a Katalógus közzétételének időpontjában nem volt általánosan elfogadott, illetve ilyen módszer nem volt ismert, vagy a vizsgálat elvégzése a műtárgy károsodásával járt volna, illetőleg a vizsgálat költségei a műtárgy </w:t>
      </w:r>
      <w:r w:rsidR="00C2655F">
        <w:rPr>
          <w:rFonts w:ascii="Garamond" w:hAnsi="Garamond"/>
          <w:sz w:val="24"/>
        </w:rPr>
        <w:t>Aukciósház</w:t>
      </w:r>
      <w:r w:rsidRPr="00514EBA">
        <w:rPr>
          <w:rFonts w:ascii="Garamond" w:hAnsi="Garamond"/>
          <w:sz w:val="24"/>
        </w:rPr>
        <w:t xml:space="preserve"> által becsült értékét elérték vagy meghaladták volna.</w:t>
      </w:r>
    </w:p>
    <w:p w14:paraId="3E7B741E" w14:textId="53EC9FB4" w:rsidR="00CD4B10"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10" w:name="content_adatvedelem"/>
      <w:r w:rsidRPr="00514EBA">
        <w:rPr>
          <w:rFonts w:ascii="Garamond" w:hAnsi="Garamond"/>
          <w:b/>
          <w:sz w:val="24"/>
        </w:rPr>
        <w:t>Adatvédelem</w:t>
      </w:r>
      <w:bookmarkEnd w:id="10"/>
    </w:p>
    <w:p w14:paraId="21228AAD" w14:textId="7DDC59AD" w:rsidR="0089572D" w:rsidRPr="00514EBA" w:rsidRDefault="0089572D" w:rsidP="00AB67C5">
      <w:pPr>
        <w:pStyle w:val="Listaszerbekezds"/>
        <w:numPr>
          <w:ilvl w:val="1"/>
          <w:numId w:val="3"/>
        </w:numPr>
        <w:spacing w:before="240" w:after="240" w:line="240" w:lineRule="auto"/>
        <w:contextualSpacing w:val="0"/>
        <w:jc w:val="both"/>
        <w:rPr>
          <w:rFonts w:ascii="Garamond" w:hAnsi="Garamond"/>
          <w:sz w:val="24"/>
        </w:rPr>
      </w:pPr>
      <w:r w:rsidRPr="00514EBA">
        <w:rPr>
          <w:rFonts w:ascii="Garamond" w:hAnsi="Garamond"/>
          <w:sz w:val="24"/>
        </w:rPr>
        <w:t xml:space="preserve">Az Árverési vevők személyes adatait (név és lakcím) az </w:t>
      </w:r>
      <w:r w:rsidR="00C2655F">
        <w:rPr>
          <w:rFonts w:ascii="Garamond" w:hAnsi="Garamond"/>
          <w:sz w:val="24"/>
        </w:rPr>
        <w:t>Aukciósház</w:t>
      </w:r>
      <w:r w:rsidRPr="00514EBA">
        <w:rPr>
          <w:rFonts w:ascii="Garamond" w:hAnsi="Garamond"/>
          <w:sz w:val="24"/>
        </w:rPr>
        <w:t xml:space="preserve"> harmadik személy részére nem teszi hozzáférhetővé, és azokat nem </w:t>
      </w:r>
      <w:r w:rsidRPr="00514EBA">
        <w:rPr>
          <w:rFonts w:ascii="Garamond" w:eastAsia="Times New Roman" w:hAnsi="Garamond" w:cs="Times New Roman"/>
          <w:sz w:val="24"/>
          <w:szCs w:val="24"/>
          <w:lang w:eastAsia="hu-HU"/>
        </w:rPr>
        <w:t>hoz</w:t>
      </w:r>
      <w:r w:rsidR="006B1A2D" w:rsidRPr="00514EBA">
        <w:rPr>
          <w:rFonts w:ascii="Garamond" w:eastAsia="Times New Roman" w:hAnsi="Garamond" w:cs="Times New Roman"/>
          <w:sz w:val="24"/>
          <w:szCs w:val="24"/>
          <w:lang w:eastAsia="hu-HU"/>
        </w:rPr>
        <w:t>za</w:t>
      </w:r>
      <w:r w:rsidRPr="00514EBA">
        <w:rPr>
          <w:rFonts w:ascii="Garamond" w:hAnsi="Garamond"/>
          <w:sz w:val="24"/>
        </w:rPr>
        <w:t xml:space="preserve"> nyilvánosságra. Az </w:t>
      </w:r>
      <w:r w:rsidR="00C2655F">
        <w:rPr>
          <w:rFonts w:ascii="Garamond" w:hAnsi="Garamond"/>
          <w:sz w:val="24"/>
        </w:rPr>
        <w:t>Aukciósház</w:t>
      </w:r>
      <w:r w:rsidRPr="00514EBA">
        <w:rPr>
          <w:rFonts w:ascii="Garamond" w:hAnsi="Garamond"/>
          <w:sz w:val="24"/>
        </w:rPr>
        <w:t xml:space="preserve"> a felvett személyes adatokat</w:t>
      </w:r>
      <w:r w:rsidRPr="00514EBA">
        <w:rPr>
          <w:rFonts w:ascii="Garamond" w:eastAsia="Times New Roman" w:hAnsi="Garamond" w:cs="Times New Roman"/>
          <w:sz w:val="24"/>
          <w:szCs w:val="24"/>
          <w:lang w:eastAsia="hu-HU"/>
        </w:rPr>
        <w:t xml:space="preserve"> </w:t>
      </w:r>
      <w:r w:rsidR="006B1A2D" w:rsidRPr="00514EBA">
        <w:rPr>
          <w:rFonts w:ascii="Garamond" w:eastAsia="Times New Roman" w:hAnsi="Garamond" w:cs="Times New Roman"/>
          <w:sz w:val="24"/>
          <w:szCs w:val="24"/>
          <w:lang w:eastAsia="hu-HU"/>
        </w:rPr>
        <w:t>(amennyiben az Árverési vevő kifejezetten másként nem rendelkezik)</w:t>
      </w:r>
      <w:r w:rsidR="006B1A2D" w:rsidRPr="00514EBA">
        <w:rPr>
          <w:rFonts w:ascii="Garamond" w:hAnsi="Garamond"/>
          <w:sz w:val="24"/>
        </w:rPr>
        <w:t xml:space="preserve"> </w:t>
      </w:r>
      <w:r w:rsidRPr="00514EBA">
        <w:rPr>
          <w:rFonts w:ascii="Garamond" w:hAnsi="Garamond"/>
          <w:sz w:val="24"/>
        </w:rPr>
        <w:t xml:space="preserve">az árverést követően haladéktalanul </w:t>
      </w:r>
      <w:proofErr w:type="spellStart"/>
      <w:r w:rsidRPr="00514EBA">
        <w:rPr>
          <w:rFonts w:ascii="Garamond" w:hAnsi="Garamond"/>
          <w:sz w:val="24"/>
        </w:rPr>
        <w:t>törli</w:t>
      </w:r>
      <w:proofErr w:type="spellEnd"/>
      <w:r w:rsidRPr="00514EBA">
        <w:rPr>
          <w:rFonts w:ascii="Garamond" w:hAnsi="Garamond"/>
          <w:sz w:val="24"/>
        </w:rPr>
        <w:t xml:space="preserve"> a nyilvántartásából, kivéve az adott árverési tárgy Vevőjének adatait, amennyiben az az adásvételi szerződés teljesítéséhez szükséges, illetve egyebekben is, ha azt törvény</w:t>
      </w:r>
      <w:r w:rsidR="006B1A2D" w:rsidRPr="00514EBA">
        <w:rPr>
          <w:rFonts w:ascii="Garamond" w:hAnsi="Garamond"/>
          <w:sz w:val="24"/>
        </w:rPr>
        <w:t xml:space="preserve"> </w:t>
      </w:r>
      <w:r w:rsidR="006B1A2D" w:rsidRPr="00514EBA">
        <w:rPr>
          <w:rFonts w:ascii="Garamond" w:eastAsia="Times New Roman" w:hAnsi="Garamond" w:cs="Times New Roman"/>
          <w:sz w:val="24"/>
          <w:szCs w:val="24"/>
          <w:lang w:eastAsia="hu-HU"/>
        </w:rPr>
        <w:t>vagy más kötelező érvényű rendelkezés azt</w:t>
      </w:r>
      <w:r w:rsidRPr="00514EBA">
        <w:rPr>
          <w:rFonts w:ascii="Garamond" w:eastAsia="Times New Roman" w:hAnsi="Garamond" w:cs="Times New Roman"/>
          <w:sz w:val="24"/>
          <w:szCs w:val="24"/>
          <w:lang w:eastAsia="hu-HU"/>
        </w:rPr>
        <w:t xml:space="preserve"> </w:t>
      </w:r>
      <w:r w:rsidRPr="00514EBA">
        <w:rPr>
          <w:rFonts w:ascii="Garamond" w:hAnsi="Garamond"/>
          <w:sz w:val="24"/>
        </w:rPr>
        <w:t>előírja.</w:t>
      </w:r>
      <w:r w:rsidR="00AB67C5">
        <w:rPr>
          <w:rFonts w:ascii="Garamond" w:hAnsi="Garamond"/>
          <w:sz w:val="24"/>
        </w:rPr>
        <w:t xml:space="preserve"> Az adatkezelésre vonatkozó további részletszabályok az Aukciósház adatkezelési tájékoztatójában érhetők el (</w:t>
      </w:r>
      <w:r w:rsidR="00AB67C5" w:rsidRPr="00AB67C5">
        <w:rPr>
          <w:rFonts w:ascii="Garamond" w:hAnsi="Garamond"/>
          <w:sz w:val="24"/>
        </w:rPr>
        <w:t>http://bav.hu/cegismerteto</w:t>
      </w:r>
      <w:r w:rsidR="00AB67C5">
        <w:rPr>
          <w:rFonts w:ascii="Garamond" w:hAnsi="Garamond"/>
          <w:sz w:val="24"/>
        </w:rPr>
        <w:t>).</w:t>
      </w:r>
    </w:p>
    <w:p w14:paraId="452ED847" w14:textId="6CA5DB9C"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11" w:name="content_egyeb"/>
      <w:r w:rsidRPr="00514EBA">
        <w:rPr>
          <w:rFonts w:ascii="Garamond" w:hAnsi="Garamond"/>
          <w:b/>
          <w:sz w:val="24"/>
        </w:rPr>
        <w:t>Egyéb rendelkezések</w:t>
      </w:r>
      <w:bookmarkEnd w:id="11"/>
    </w:p>
    <w:p w14:paraId="312BF5EF" w14:textId="35AB8FAD" w:rsidR="0089572D" w:rsidRPr="00514EBA" w:rsidRDefault="0089572D" w:rsidP="00A648D0">
      <w:pPr>
        <w:pStyle w:val="Listaszerbekezds"/>
        <w:numPr>
          <w:ilvl w:val="1"/>
          <w:numId w:val="3"/>
        </w:numPr>
        <w:spacing w:before="240" w:after="240" w:line="240" w:lineRule="auto"/>
        <w:ind w:left="709" w:hanging="650"/>
        <w:contextualSpacing w:val="0"/>
        <w:jc w:val="both"/>
        <w:rPr>
          <w:rFonts w:ascii="Garamond" w:hAnsi="Garamond"/>
          <w:sz w:val="24"/>
        </w:rPr>
      </w:pPr>
      <w:r w:rsidRPr="00514EBA">
        <w:rPr>
          <w:rFonts w:ascii="Garamond" w:hAnsi="Garamond"/>
          <w:sz w:val="24"/>
        </w:rPr>
        <w:t>A</w:t>
      </w:r>
      <w:r w:rsidR="00AB67C5">
        <w:rPr>
          <w:rFonts w:ascii="Garamond" w:hAnsi="Garamond"/>
          <w:sz w:val="24"/>
        </w:rPr>
        <w:t xml:space="preserve"> jelen</w:t>
      </w:r>
      <w:r w:rsidRPr="00514EBA">
        <w:rPr>
          <w:rFonts w:ascii="Garamond" w:hAnsi="Garamond"/>
          <w:sz w:val="24"/>
        </w:rPr>
        <w:t xml:space="preserve"> Árverési feltételekben nem rendezett kérdésekben a magyar jog rendelkezései és a hatályos magyar jogszabályok az irányadóak. Amennyiben az Árverési feltételek valamely rendelkezése jogszabályváltozás folytán érvénytelenné vagy hatálytalanná válna, úgy az érintett rendelkezés helyébe automatikusan az új jogszabályi rendelkezés lép. Jogvita esetére a felek magyar joghatóságot kötnek ki. Az érintett felek elfogadják, hogy az Árverési feltételek bármely fél külön nyilatkozata nélkül is az adásvételi szerződés lényeges tartalmát képezik.</w:t>
      </w:r>
    </w:p>
    <w:p w14:paraId="7E869901" w14:textId="0FFDD870" w:rsidR="00D937F5" w:rsidRPr="00514EBA" w:rsidRDefault="0089572D" w:rsidP="00A648D0">
      <w:pPr>
        <w:pStyle w:val="Listaszerbekezds"/>
        <w:numPr>
          <w:ilvl w:val="0"/>
          <w:numId w:val="3"/>
        </w:numPr>
        <w:spacing w:before="240" w:after="240" w:line="240" w:lineRule="auto"/>
        <w:contextualSpacing w:val="0"/>
        <w:jc w:val="both"/>
        <w:rPr>
          <w:rFonts w:ascii="Garamond" w:hAnsi="Garamond"/>
          <w:b/>
          <w:sz w:val="24"/>
        </w:rPr>
      </w:pPr>
      <w:bookmarkStart w:id="12" w:name="content_kulfoldi"/>
      <w:r w:rsidRPr="00514EBA">
        <w:rPr>
          <w:rFonts w:ascii="Garamond" w:hAnsi="Garamond"/>
          <w:b/>
          <w:sz w:val="24"/>
        </w:rPr>
        <w:t>Külföldi vásárlók figyelmébe</w:t>
      </w:r>
      <w:bookmarkEnd w:id="12"/>
    </w:p>
    <w:p w14:paraId="0CA8AAA3" w14:textId="2C669798" w:rsidR="0089572D" w:rsidRPr="00514EBA" w:rsidRDefault="0089572D" w:rsidP="007A0595">
      <w:pPr>
        <w:pStyle w:val="Listaszerbekezds"/>
        <w:numPr>
          <w:ilvl w:val="1"/>
          <w:numId w:val="3"/>
        </w:numPr>
        <w:spacing w:before="240" w:after="240" w:line="240" w:lineRule="auto"/>
        <w:ind w:left="709" w:hanging="650"/>
        <w:contextualSpacing w:val="0"/>
        <w:jc w:val="both"/>
        <w:rPr>
          <w:rFonts w:ascii="Garamond" w:eastAsia="Times New Roman" w:hAnsi="Garamond" w:cs="Times New Roman"/>
          <w:sz w:val="24"/>
          <w:szCs w:val="24"/>
          <w:lang w:eastAsia="hu-HU"/>
        </w:rPr>
      </w:pPr>
      <w:r w:rsidRPr="00514EBA">
        <w:rPr>
          <w:rFonts w:ascii="Garamond" w:hAnsi="Garamond"/>
          <w:sz w:val="24"/>
        </w:rPr>
        <w:t xml:space="preserve">A kulturális javak külföldre viteléről a 2001. évi LXIV. törvény rendelkezik. A kulturális javak véglegesen csak a </w:t>
      </w:r>
      <w:r w:rsidR="00100DC6" w:rsidRPr="00514EBA">
        <w:rPr>
          <w:rFonts w:ascii="Garamond" w:eastAsia="Times New Roman" w:hAnsi="Garamond" w:cs="Times New Roman"/>
          <w:sz w:val="24"/>
          <w:szCs w:val="24"/>
          <w:lang w:eastAsia="hu-HU"/>
        </w:rPr>
        <w:t>Hatóság</w:t>
      </w:r>
      <w:r w:rsidR="00100DC6" w:rsidRPr="00514EBA">
        <w:rPr>
          <w:rFonts w:ascii="Garamond" w:hAnsi="Garamond"/>
          <w:sz w:val="24"/>
        </w:rPr>
        <w:t xml:space="preserve"> </w:t>
      </w:r>
      <w:r w:rsidRPr="00514EBA">
        <w:rPr>
          <w:rFonts w:ascii="Garamond" w:hAnsi="Garamond"/>
          <w:sz w:val="24"/>
        </w:rPr>
        <w:t>engedélyével vihető</w:t>
      </w:r>
      <w:r w:rsidR="00E50B17" w:rsidRPr="00514EBA">
        <w:rPr>
          <w:rFonts w:ascii="Garamond" w:hAnsi="Garamond"/>
          <w:sz w:val="24"/>
        </w:rPr>
        <w:t>k</w:t>
      </w:r>
      <w:r w:rsidRPr="00514EBA">
        <w:rPr>
          <w:rFonts w:ascii="Garamond" w:hAnsi="Garamond"/>
          <w:sz w:val="24"/>
        </w:rPr>
        <w:t xml:space="preserve"> ki az országból.</w:t>
      </w:r>
      <w:r w:rsidR="00D51874" w:rsidRPr="00514EBA">
        <w:rPr>
          <w:rFonts w:ascii="Garamond" w:hAnsi="Garamond"/>
          <w:sz w:val="24"/>
        </w:rPr>
        <w:t xml:space="preserve"> </w:t>
      </w:r>
      <w:r w:rsidRPr="00514EBA">
        <w:rPr>
          <w:rFonts w:ascii="Garamond" w:hAnsi="Garamond"/>
          <w:sz w:val="24"/>
        </w:rPr>
        <w:t xml:space="preserve">Az </w:t>
      </w:r>
      <w:r w:rsidR="00C2655F">
        <w:rPr>
          <w:rFonts w:ascii="Garamond" w:hAnsi="Garamond"/>
          <w:sz w:val="24"/>
        </w:rPr>
        <w:t>Aukciósház</w:t>
      </w:r>
      <w:r w:rsidRPr="00514EBA">
        <w:rPr>
          <w:rFonts w:ascii="Garamond" w:hAnsi="Garamond"/>
          <w:sz w:val="24"/>
        </w:rPr>
        <w:t xml:space="preserve"> igény esetén tájékoztatást nyújt arról, hogy mely cég tud segítséget nyújtani a műtárgyak külföldre vitelével (engedélyeztetés, csomagolás, vámkezelés, szállítás) kapcsolatosan.</w:t>
      </w:r>
    </w:p>
    <w:sectPr w:rsidR="0089572D" w:rsidRPr="00514EBA">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456F8" w16cid:durableId="201A2EF1"/>
  <w16cid:commentId w16cid:paraId="60BAD4C0" w16cid:durableId="201A2EF2"/>
  <w16cid:commentId w16cid:paraId="0043B556" w16cid:durableId="201A2EF3"/>
  <w16cid:commentId w16cid:paraId="3D6DF5C9" w16cid:durableId="201A2EF4"/>
  <w16cid:commentId w16cid:paraId="0742EF50" w16cid:durableId="201A3062"/>
  <w16cid:commentId w16cid:paraId="35C357E2" w16cid:durableId="201A2EF5"/>
  <w16cid:commentId w16cid:paraId="18439B07" w16cid:durableId="201A2EF6"/>
  <w16cid:commentId w16cid:paraId="242A6C2B" w16cid:durableId="201A2EF7"/>
  <w16cid:commentId w16cid:paraId="13D33EA4" w16cid:durableId="201A2EF8"/>
  <w16cid:commentId w16cid:paraId="20882DAD" w16cid:durableId="201A2E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5F15" w14:textId="77777777" w:rsidR="002A23B8" w:rsidRDefault="002A23B8" w:rsidP="0071559F">
      <w:pPr>
        <w:spacing w:after="0" w:line="240" w:lineRule="auto"/>
      </w:pPr>
      <w:r>
        <w:separator/>
      </w:r>
    </w:p>
  </w:endnote>
  <w:endnote w:type="continuationSeparator" w:id="0">
    <w:p w14:paraId="79E2F2C7" w14:textId="77777777" w:rsidR="002A23B8" w:rsidRDefault="002A23B8" w:rsidP="0071559F">
      <w:pPr>
        <w:spacing w:after="0" w:line="240" w:lineRule="auto"/>
      </w:pPr>
      <w:r>
        <w:continuationSeparator/>
      </w:r>
    </w:p>
  </w:endnote>
  <w:endnote w:type="continuationNotice" w:id="1">
    <w:p w14:paraId="2094DE67" w14:textId="77777777" w:rsidR="002A23B8" w:rsidRDefault="002A2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030763"/>
      <w:docPartObj>
        <w:docPartGallery w:val="Page Numbers (Bottom of Page)"/>
        <w:docPartUnique/>
      </w:docPartObj>
    </w:sdtPr>
    <w:sdtEndPr/>
    <w:sdtContent>
      <w:p w14:paraId="57ADCEFC" w14:textId="472EE04E" w:rsidR="006521AC" w:rsidRDefault="006521AC">
        <w:pPr>
          <w:pStyle w:val="llb"/>
          <w:jc w:val="right"/>
        </w:pPr>
        <w:r>
          <w:fldChar w:fldCharType="begin"/>
        </w:r>
        <w:r>
          <w:instrText>PAGE   \* MERGEFORMAT</w:instrText>
        </w:r>
        <w:r>
          <w:fldChar w:fldCharType="separate"/>
        </w:r>
        <w:r w:rsidR="00D45AD4">
          <w:rPr>
            <w:noProof/>
          </w:rPr>
          <w:t>6</w:t>
        </w:r>
        <w:r>
          <w:fldChar w:fldCharType="end"/>
        </w:r>
      </w:p>
    </w:sdtContent>
  </w:sdt>
  <w:p w14:paraId="06155D06" w14:textId="77777777" w:rsidR="006521AC" w:rsidRDefault="006521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40DE" w14:textId="77777777" w:rsidR="002A23B8" w:rsidRDefault="002A23B8" w:rsidP="0071559F">
      <w:pPr>
        <w:spacing w:after="0" w:line="240" w:lineRule="auto"/>
      </w:pPr>
      <w:r>
        <w:separator/>
      </w:r>
    </w:p>
  </w:footnote>
  <w:footnote w:type="continuationSeparator" w:id="0">
    <w:p w14:paraId="59C1D03D" w14:textId="77777777" w:rsidR="002A23B8" w:rsidRDefault="002A23B8" w:rsidP="0071559F">
      <w:pPr>
        <w:spacing w:after="0" w:line="240" w:lineRule="auto"/>
      </w:pPr>
      <w:r>
        <w:continuationSeparator/>
      </w:r>
    </w:p>
  </w:footnote>
  <w:footnote w:type="continuationNotice" w:id="1">
    <w:p w14:paraId="766ED3AE" w14:textId="77777777" w:rsidR="002A23B8" w:rsidRDefault="002A23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8EC"/>
    <w:multiLevelType w:val="hybridMultilevel"/>
    <w:tmpl w:val="92D6A640"/>
    <w:lvl w:ilvl="0" w:tplc="EFAE9C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BF7036"/>
    <w:multiLevelType w:val="multilevel"/>
    <w:tmpl w:val="2B4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81FB1"/>
    <w:multiLevelType w:val="multilevel"/>
    <w:tmpl w:val="FC00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C6C4D"/>
    <w:multiLevelType w:val="multilevel"/>
    <w:tmpl w:val="AC56D200"/>
    <w:lvl w:ilvl="0">
      <w:start w:val="1"/>
      <w:numFmt w:val="decimal"/>
      <w:lvlText w:val="%1."/>
      <w:lvlJc w:val="left"/>
      <w:pPr>
        <w:ind w:left="360" w:hanging="360"/>
      </w:pPr>
      <w:rPr>
        <w:rFonts w:ascii="Garamond" w:eastAsiaTheme="minorHAnsi" w:hAnsi="Garamond"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CD4F0E"/>
    <w:multiLevelType w:val="hybridMultilevel"/>
    <w:tmpl w:val="3D08AB80"/>
    <w:lvl w:ilvl="0" w:tplc="5ED477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2D"/>
    <w:rsid w:val="000033BE"/>
    <w:rsid w:val="000060C9"/>
    <w:rsid w:val="00017899"/>
    <w:rsid w:val="00022228"/>
    <w:rsid w:val="000225D9"/>
    <w:rsid w:val="00023076"/>
    <w:rsid w:val="00024AE9"/>
    <w:rsid w:val="00032091"/>
    <w:rsid w:val="000352B9"/>
    <w:rsid w:val="000360F1"/>
    <w:rsid w:val="00037EE3"/>
    <w:rsid w:val="000400DC"/>
    <w:rsid w:val="00041106"/>
    <w:rsid w:val="00053098"/>
    <w:rsid w:val="000566AA"/>
    <w:rsid w:val="0006113C"/>
    <w:rsid w:val="00062945"/>
    <w:rsid w:val="0006297E"/>
    <w:rsid w:val="00065A60"/>
    <w:rsid w:val="00067923"/>
    <w:rsid w:val="00070E4A"/>
    <w:rsid w:val="00071A07"/>
    <w:rsid w:val="00080320"/>
    <w:rsid w:val="00080D0C"/>
    <w:rsid w:val="00083212"/>
    <w:rsid w:val="00084138"/>
    <w:rsid w:val="00087385"/>
    <w:rsid w:val="000874B5"/>
    <w:rsid w:val="000A6FFE"/>
    <w:rsid w:val="000A736B"/>
    <w:rsid w:val="000B0555"/>
    <w:rsid w:val="000B7A89"/>
    <w:rsid w:val="000C1941"/>
    <w:rsid w:val="000D3FBE"/>
    <w:rsid w:val="000D46D7"/>
    <w:rsid w:val="000E14AA"/>
    <w:rsid w:val="000E3629"/>
    <w:rsid w:val="000F08D6"/>
    <w:rsid w:val="000F0AD0"/>
    <w:rsid w:val="000F3884"/>
    <w:rsid w:val="000F55BC"/>
    <w:rsid w:val="00100DC6"/>
    <w:rsid w:val="001016F3"/>
    <w:rsid w:val="00104331"/>
    <w:rsid w:val="00107161"/>
    <w:rsid w:val="00110499"/>
    <w:rsid w:val="00111B63"/>
    <w:rsid w:val="00113405"/>
    <w:rsid w:val="00114B15"/>
    <w:rsid w:val="001156D0"/>
    <w:rsid w:val="00117B10"/>
    <w:rsid w:val="00122DF1"/>
    <w:rsid w:val="00125D5A"/>
    <w:rsid w:val="0013088F"/>
    <w:rsid w:val="001315C3"/>
    <w:rsid w:val="001429F8"/>
    <w:rsid w:val="0014736C"/>
    <w:rsid w:val="0015076E"/>
    <w:rsid w:val="00153C0C"/>
    <w:rsid w:val="00154D8D"/>
    <w:rsid w:val="001551AE"/>
    <w:rsid w:val="00157725"/>
    <w:rsid w:val="001653CC"/>
    <w:rsid w:val="00167FB0"/>
    <w:rsid w:val="00180A82"/>
    <w:rsid w:val="00181EA2"/>
    <w:rsid w:val="0018682B"/>
    <w:rsid w:val="0019266B"/>
    <w:rsid w:val="00192EDC"/>
    <w:rsid w:val="00196DE8"/>
    <w:rsid w:val="001A1EE7"/>
    <w:rsid w:val="001A3345"/>
    <w:rsid w:val="001A691C"/>
    <w:rsid w:val="001A7D5F"/>
    <w:rsid w:val="001B1CDD"/>
    <w:rsid w:val="001B242D"/>
    <w:rsid w:val="001C0992"/>
    <w:rsid w:val="001C1C8D"/>
    <w:rsid w:val="001C2C27"/>
    <w:rsid w:val="001C3C71"/>
    <w:rsid w:val="001D0030"/>
    <w:rsid w:val="001D060D"/>
    <w:rsid w:val="001D0894"/>
    <w:rsid w:val="001D2B04"/>
    <w:rsid w:val="001D4865"/>
    <w:rsid w:val="001E6E7A"/>
    <w:rsid w:val="001F0E19"/>
    <w:rsid w:val="001F1983"/>
    <w:rsid w:val="001F53DF"/>
    <w:rsid w:val="00200F5E"/>
    <w:rsid w:val="00201500"/>
    <w:rsid w:val="00203EDB"/>
    <w:rsid w:val="00210B07"/>
    <w:rsid w:val="0021347A"/>
    <w:rsid w:val="002168FD"/>
    <w:rsid w:val="00222DA6"/>
    <w:rsid w:val="002320EA"/>
    <w:rsid w:val="0023312D"/>
    <w:rsid w:val="0023344F"/>
    <w:rsid w:val="00234F49"/>
    <w:rsid w:val="00242845"/>
    <w:rsid w:val="0024359C"/>
    <w:rsid w:val="00246CD7"/>
    <w:rsid w:val="00251D02"/>
    <w:rsid w:val="00262E2F"/>
    <w:rsid w:val="00264A88"/>
    <w:rsid w:val="002760E9"/>
    <w:rsid w:val="0027621D"/>
    <w:rsid w:val="00277AD8"/>
    <w:rsid w:val="00281672"/>
    <w:rsid w:val="00281755"/>
    <w:rsid w:val="00281B62"/>
    <w:rsid w:val="00285F54"/>
    <w:rsid w:val="002871AD"/>
    <w:rsid w:val="002A123A"/>
    <w:rsid w:val="002A21FF"/>
    <w:rsid w:val="002A23B8"/>
    <w:rsid w:val="002A3F3D"/>
    <w:rsid w:val="002A431C"/>
    <w:rsid w:val="002A66DB"/>
    <w:rsid w:val="002B06AD"/>
    <w:rsid w:val="002B123E"/>
    <w:rsid w:val="002C00BF"/>
    <w:rsid w:val="002C24B7"/>
    <w:rsid w:val="002C3B45"/>
    <w:rsid w:val="002D15B5"/>
    <w:rsid w:val="002D2670"/>
    <w:rsid w:val="002D3719"/>
    <w:rsid w:val="002E0063"/>
    <w:rsid w:val="002E3FEF"/>
    <w:rsid w:val="002E5D9C"/>
    <w:rsid w:val="002E75E8"/>
    <w:rsid w:val="002F1C1D"/>
    <w:rsid w:val="002F3CC7"/>
    <w:rsid w:val="003000DF"/>
    <w:rsid w:val="00301A36"/>
    <w:rsid w:val="003024F3"/>
    <w:rsid w:val="00304834"/>
    <w:rsid w:val="003104DF"/>
    <w:rsid w:val="00314036"/>
    <w:rsid w:val="003234E6"/>
    <w:rsid w:val="00323A9C"/>
    <w:rsid w:val="00326A38"/>
    <w:rsid w:val="00344210"/>
    <w:rsid w:val="0034528A"/>
    <w:rsid w:val="00356816"/>
    <w:rsid w:val="003579CA"/>
    <w:rsid w:val="003604E1"/>
    <w:rsid w:val="00360ECC"/>
    <w:rsid w:val="0036187E"/>
    <w:rsid w:val="00364FDE"/>
    <w:rsid w:val="00366C67"/>
    <w:rsid w:val="003717C9"/>
    <w:rsid w:val="0037568F"/>
    <w:rsid w:val="00384C3C"/>
    <w:rsid w:val="00387C46"/>
    <w:rsid w:val="00392F27"/>
    <w:rsid w:val="003A07EC"/>
    <w:rsid w:val="003A0CCE"/>
    <w:rsid w:val="003A2F62"/>
    <w:rsid w:val="003A3C6D"/>
    <w:rsid w:val="003B1833"/>
    <w:rsid w:val="003B2726"/>
    <w:rsid w:val="003B4CE4"/>
    <w:rsid w:val="003C0D08"/>
    <w:rsid w:val="003C3CDA"/>
    <w:rsid w:val="003C54BD"/>
    <w:rsid w:val="003D165E"/>
    <w:rsid w:val="003D4A43"/>
    <w:rsid w:val="003D7459"/>
    <w:rsid w:val="003D765A"/>
    <w:rsid w:val="003E7A7A"/>
    <w:rsid w:val="003F3809"/>
    <w:rsid w:val="00400CD3"/>
    <w:rsid w:val="00404B82"/>
    <w:rsid w:val="00411F45"/>
    <w:rsid w:val="0041420E"/>
    <w:rsid w:val="00417D79"/>
    <w:rsid w:val="004206AF"/>
    <w:rsid w:val="004259FA"/>
    <w:rsid w:val="00425FAD"/>
    <w:rsid w:val="00425FB9"/>
    <w:rsid w:val="00431D7B"/>
    <w:rsid w:val="0043672F"/>
    <w:rsid w:val="004373E6"/>
    <w:rsid w:val="0044126B"/>
    <w:rsid w:val="00442569"/>
    <w:rsid w:val="00443055"/>
    <w:rsid w:val="004450C9"/>
    <w:rsid w:val="00452E6C"/>
    <w:rsid w:val="004544C8"/>
    <w:rsid w:val="00456F72"/>
    <w:rsid w:val="00460950"/>
    <w:rsid w:val="00467E6C"/>
    <w:rsid w:val="00467EC8"/>
    <w:rsid w:val="00470608"/>
    <w:rsid w:val="00474543"/>
    <w:rsid w:val="00475D22"/>
    <w:rsid w:val="00485340"/>
    <w:rsid w:val="00491912"/>
    <w:rsid w:val="004929A9"/>
    <w:rsid w:val="004A115D"/>
    <w:rsid w:val="004A53B8"/>
    <w:rsid w:val="004B4290"/>
    <w:rsid w:val="004C1DDA"/>
    <w:rsid w:val="004C7315"/>
    <w:rsid w:val="004D09BA"/>
    <w:rsid w:val="004D5F36"/>
    <w:rsid w:val="004E138E"/>
    <w:rsid w:val="004F0E58"/>
    <w:rsid w:val="004F7CCA"/>
    <w:rsid w:val="00502CAF"/>
    <w:rsid w:val="0050732C"/>
    <w:rsid w:val="00507E53"/>
    <w:rsid w:val="00514EBA"/>
    <w:rsid w:val="005214F2"/>
    <w:rsid w:val="00524376"/>
    <w:rsid w:val="005246BC"/>
    <w:rsid w:val="005317A4"/>
    <w:rsid w:val="00531814"/>
    <w:rsid w:val="005368A1"/>
    <w:rsid w:val="005418AC"/>
    <w:rsid w:val="0055529B"/>
    <w:rsid w:val="005624A0"/>
    <w:rsid w:val="00564063"/>
    <w:rsid w:val="00571FA1"/>
    <w:rsid w:val="00572707"/>
    <w:rsid w:val="00596C9F"/>
    <w:rsid w:val="005A1324"/>
    <w:rsid w:val="005A557D"/>
    <w:rsid w:val="005B12E6"/>
    <w:rsid w:val="005B542A"/>
    <w:rsid w:val="005C4777"/>
    <w:rsid w:val="005D3181"/>
    <w:rsid w:val="005D6155"/>
    <w:rsid w:val="005D6B6F"/>
    <w:rsid w:val="005D70D1"/>
    <w:rsid w:val="005E0A61"/>
    <w:rsid w:val="005E62FA"/>
    <w:rsid w:val="005E677D"/>
    <w:rsid w:val="005F0862"/>
    <w:rsid w:val="005F7F4B"/>
    <w:rsid w:val="006038EB"/>
    <w:rsid w:val="00606F54"/>
    <w:rsid w:val="00612F44"/>
    <w:rsid w:val="006210B7"/>
    <w:rsid w:val="00621708"/>
    <w:rsid w:val="00623920"/>
    <w:rsid w:val="006262DA"/>
    <w:rsid w:val="00634D2F"/>
    <w:rsid w:val="00635FCD"/>
    <w:rsid w:val="00640390"/>
    <w:rsid w:val="00641070"/>
    <w:rsid w:val="00641A5F"/>
    <w:rsid w:val="006445CD"/>
    <w:rsid w:val="00644AB2"/>
    <w:rsid w:val="0064523E"/>
    <w:rsid w:val="00651393"/>
    <w:rsid w:val="006521AC"/>
    <w:rsid w:val="006538AF"/>
    <w:rsid w:val="006571C9"/>
    <w:rsid w:val="00662A0F"/>
    <w:rsid w:val="00663BE8"/>
    <w:rsid w:val="00665013"/>
    <w:rsid w:val="006762CB"/>
    <w:rsid w:val="00681DDA"/>
    <w:rsid w:val="00685823"/>
    <w:rsid w:val="0069591E"/>
    <w:rsid w:val="00696D74"/>
    <w:rsid w:val="006970DF"/>
    <w:rsid w:val="006A6DE5"/>
    <w:rsid w:val="006B1A2D"/>
    <w:rsid w:val="006C179A"/>
    <w:rsid w:val="006C224C"/>
    <w:rsid w:val="006C309A"/>
    <w:rsid w:val="006C6460"/>
    <w:rsid w:val="006C6933"/>
    <w:rsid w:val="006D3BB1"/>
    <w:rsid w:val="006D590B"/>
    <w:rsid w:val="006E0E1B"/>
    <w:rsid w:val="006E3A90"/>
    <w:rsid w:val="006E71E1"/>
    <w:rsid w:val="006F59A8"/>
    <w:rsid w:val="006F6699"/>
    <w:rsid w:val="00700C82"/>
    <w:rsid w:val="00706A52"/>
    <w:rsid w:val="00707CF0"/>
    <w:rsid w:val="0071036F"/>
    <w:rsid w:val="0071062F"/>
    <w:rsid w:val="0071559F"/>
    <w:rsid w:val="00724A12"/>
    <w:rsid w:val="007254F6"/>
    <w:rsid w:val="00731D20"/>
    <w:rsid w:val="0073291F"/>
    <w:rsid w:val="007352F0"/>
    <w:rsid w:val="0074278F"/>
    <w:rsid w:val="00745963"/>
    <w:rsid w:val="00746556"/>
    <w:rsid w:val="007509D7"/>
    <w:rsid w:val="007578CD"/>
    <w:rsid w:val="0076454C"/>
    <w:rsid w:val="00770CFC"/>
    <w:rsid w:val="007733A8"/>
    <w:rsid w:val="00774B01"/>
    <w:rsid w:val="00774D8F"/>
    <w:rsid w:val="00784184"/>
    <w:rsid w:val="00786D6A"/>
    <w:rsid w:val="00795CFA"/>
    <w:rsid w:val="007A0595"/>
    <w:rsid w:val="007A0A3B"/>
    <w:rsid w:val="007A0D85"/>
    <w:rsid w:val="007A2024"/>
    <w:rsid w:val="007A69D8"/>
    <w:rsid w:val="007B0709"/>
    <w:rsid w:val="007B099E"/>
    <w:rsid w:val="007B2533"/>
    <w:rsid w:val="007B6B67"/>
    <w:rsid w:val="007C4DBC"/>
    <w:rsid w:val="007C7405"/>
    <w:rsid w:val="007D1CA4"/>
    <w:rsid w:val="007D202B"/>
    <w:rsid w:val="007D5B45"/>
    <w:rsid w:val="007E3B80"/>
    <w:rsid w:val="007E3BF1"/>
    <w:rsid w:val="007E51CB"/>
    <w:rsid w:val="007F1E39"/>
    <w:rsid w:val="007F25AC"/>
    <w:rsid w:val="007F25D9"/>
    <w:rsid w:val="00804D9A"/>
    <w:rsid w:val="008058DE"/>
    <w:rsid w:val="00817F77"/>
    <w:rsid w:val="0082147C"/>
    <w:rsid w:val="0083221E"/>
    <w:rsid w:val="00832286"/>
    <w:rsid w:val="00833680"/>
    <w:rsid w:val="00833C4C"/>
    <w:rsid w:val="00833C8C"/>
    <w:rsid w:val="0083677B"/>
    <w:rsid w:val="00837D18"/>
    <w:rsid w:val="00840441"/>
    <w:rsid w:val="00843426"/>
    <w:rsid w:val="00844116"/>
    <w:rsid w:val="00851279"/>
    <w:rsid w:val="0085317A"/>
    <w:rsid w:val="00855CCB"/>
    <w:rsid w:val="00856582"/>
    <w:rsid w:val="00862BC5"/>
    <w:rsid w:val="00863C3C"/>
    <w:rsid w:val="00864C36"/>
    <w:rsid w:val="008654C9"/>
    <w:rsid w:val="00875165"/>
    <w:rsid w:val="0087521E"/>
    <w:rsid w:val="00877421"/>
    <w:rsid w:val="00877A99"/>
    <w:rsid w:val="00886853"/>
    <w:rsid w:val="0089085E"/>
    <w:rsid w:val="0089572D"/>
    <w:rsid w:val="008A213B"/>
    <w:rsid w:val="008A35D1"/>
    <w:rsid w:val="008A393F"/>
    <w:rsid w:val="008A65CB"/>
    <w:rsid w:val="008B458C"/>
    <w:rsid w:val="008B7F0B"/>
    <w:rsid w:val="008C09E4"/>
    <w:rsid w:val="008C0C98"/>
    <w:rsid w:val="008C47C1"/>
    <w:rsid w:val="008C6F71"/>
    <w:rsid w:val="008D23B7"/>
    <w:rsid w:val="008D245D"/>
    <w:rsid w:val="008D5E47"/>
    <w:rsid w:val="008E27A6"/>
    <w:rsid w:val="008E2AE4"/>
    <w:rsid w:val="008E5713"/>
    <w:rsid w:val="008E5983"/>
    <w:rsid w:val="008F4AFF"/>
    <w:rsid w:val="00902759"/>
    <w:rsid w:val="00902E49"/>
    <w:rsid w:val="00902E67"/>
    <w:rsid w:val="00904201"/>
    <w:rsid w:val="0090474F"/>
    <w:rsid w:val="00911B18"/>
    <w:rsid w:val="00914EE2"/>
    <w:rsid w:val="009158AF"/>
    <w:rsid w:val="00922609"/>
    <w:rsid w:val="009227DA"/>
    <w:rsid w:val="00923C95"/>
    <w:rsid w:val="00924C07"/>
    <w:rsid w:val="00925123"/>
    <w:rsid w:val="009358AA"/>
    <w:rsid w:val="00937B9E"/>
    <w:rsid w:val="00944748"/>
    <w:rsid w:val="0094799D"/>
    <w:rsid w:val="0095727E"/>
    <w:rsid w:val="00957A40"/>
    <w:rsid w:val="00962BC4"/>
    <w:rsid w:val="00992231"/>
    <w:rsid w:val="00992C02"/>
    <w:rsid w:val="00994454"/>
    <w:rsid w:val="00996C10"/>
    <w:rsid w:val="009A0237"/>
    <w:rsid w:val="009A0892"/>
    <w:rsid w:val="009A1689"/>
    <w:rsid w:val="009A2FF8"/>
    <w:rsid w:val="009A5F40"/>
    <w:rsid w:val="009A734A"/>
    <w:rsid w:val="009C5DB1"/>
    <w:rsid w:val="009D03B0"/>
    <w:rsid w:val="009D54A0"/>
    <w:rsid w:val="009D57FA"/>
    <w:rsid w:val="009D7E63"/>
    <w:rsid w:val="009E3237"/>
    <w:rsid w:val="009F1DA9"/>
    <w:rsid w:val="009F3929"/>
    <w:rsid w:val="009F4824"/>
    <w:rsid w:val="009F6DF1"/>
    <w:rsid w:val="00A0341B"/>
    <w:rsid w:val="00A072B0"/>
    <w:rsid w:val="00A10590"/>
    <w:rsid w:val="00A10DCE"/>
    <w:rsid w:val="00A133DE"/>
    <w:rsid w:val="00A14E24"/>
    <w:rsid w:val="00A16160"/>
    <w:rsid w:val="00A2297D"/>
    <w:rsid w:val="00A27AC8"/>
    <w:rsid w:val="00A35865"/>
    <w:rsid w:val="00A407BD"/>
    <w:rsid w:val="00A46454"/>
    <w:rsid w:val="00A46AB5"/>
    <w:rsid w:val="00A522F5"/>
    <w:rsid w:val="00A527C7"/>
    <w:rsid w:val="00A54E4D"/>
    <w:rsid w:val="00A648D0"/>
    <w:rsid w:val="00A70A8D"/>
    <w:rsid w:val="00A71958"/>
    <w:rsid w:val="00A731A1"/>
    <w:rsid w:val="00A77E9E"/>
    <w:rsid w:val="00A862A9"/>
    <w:rsid w:val="00A940C2"/>
    <w:rsid w:val="00A96D90"/>
    <w:rsid w:val="00A9769F"/>
    <w:rsid w:val="00AA69F1"/>
    <w:rsid w:val="00AA7313"/>
    <w:rsid w:val="00AA76DE"/>
    <w:rsid w:val="00AA7937"/>
    <w:rsid w:val="00AB54EA"/>
    <w:rsid w:val="00AB67C5"/>
    <w:rsid w:val="00AC31C6"/>
    <w:rsid w:val="00AC35B3"/>
    <w:rsid w:val="00AC7AA9"/>
    <w:rsid w:val="00AD0BAF"/>
    <w:rsid w:val="00AD2FBF"/>
    <w:rsid w:val="00AD35B9"/>
    <w:rsid w:val="00AD48ED"/>
    <w:rsid w:val="00AD5029"/>
    <w:rsid w:val="00AD5875"/>
    <w:rsid w:val="00AE2BB4"/>
    <w:rsid w:val="00AE357A"/>
    <w:rsid w:val="00AE5500"/>
    <w:rsid w:val="00AE5E17"/>
    <w:rsid w:val="00AE6BAF"/>
    <w:rsid w:val="00AF0915"/>
    <w:rsid w:val="00AF35B8"/>
    <w:rsid w:val="00AF4DE4"/>
    <w:rsid w:val="00AF66A8"/>
    <w:rsid w:val="00AF719A"/>
    <w:rsid w:val="00B07C1A"/>
    <w:rsid w:val="00B129D4"/>
    <w:rsid w:val="00B14774"/>
    <w:rsid w:val="00B1623F"/>
    <w:rsid w:val="00B20B40"/>
    <w:rsid w:val="00B212DE"/>
    <w:rsid w:val="00B2508D"/>
    <w:rsid w:val="00B25E5A"/>
    <w:rsid w:val="00B26AB6"/>
    <w:rsid w:val="00B3451F"/>
    <w:rsid w:val="00B371C1"/>
    <w:rsid w:val="00B378CB"/>
    <w:rsid w:val="00B4170B"/>
    <w:rsid w:val="00B42EE8"/>
    <w:rsid w:val="00B51211"/>
    <w:rsid w:val="00B62B7B"/>
    <w:rsid w:val="00B64873"/>
    <w:rsid w:val="00B6591D"/>
    <w:rsid w:val="00B66ECC"/>
    <w:rsid w:val="00B71564"/>
    <w:rsid w:val="00B71C63"/>
    <w:rsid w:val="00B724AC"/>
    <w:rsid w:val="00B81A2C"/>
    <w:rsid w:val="00B83F5E"/>
    <w:rsid w:val="00B868C5"/>
    <w:rsid w:val="00B870E4"/>
    <w:rsid w:val="00B923C5"/>
    <w:rsid w:val="00B92645"/>
    <w:rsid w:val="00B929FB"/>
    <w:rsid w:val="00B94EFE"/>
    <w:rsid w:val="00BA2496"/>
    <w:rsid w:val="00BA5E32"/>
    <w:rsid w:val="00BA756C"/>
    <w:rsid w:val="00BB3295"/>
    <w:rsid w:val="00BB4597"/>
    <w:rsid w:val="00BC1869"/>
    <w:rsid w:val="00BC1C1E"/>
    <w:rsid w:val="00BC22E0"/>
    <w:rsid w:val="00BD283F"/>
    <w:rsid w:val="00BE2159"/>
    <w:rsid w:val="00C04206"/>
    <w:rsid w:val="00C14E27"/>
    <w:rsid w:val="00C20320"/>
    <w:rsid w:val="00C20CC7"/>
    <w:rsid w:val="00C20F51"/>
    <w:rsid w:val="00C238CE"/>
    <w:rsid w:val="00C2655F"/>
    <w:rsid w:val="00C272B7"/>
    <w:rsid w:val="00C3362C"/>
    <w:rsid w:val="00C33922"/>
    <w:rsid w:val="00C33EE7"/>
    <w:rsid w:val="00C371BB"/>
    <w:rsid w:val="00C415E1"/>
    <w:rsid w:val="00C51DF8"/>
    <w:rsid w:val="00C61CB5"/>
    <w:rsid w:val="00C64591"/>
    <w:rsid w:val="00C7062F"/>
    <w:rsid w:val="00C730AB"/>
    <w:rsid w:val="00C759CA"/>
    <w:rsid w:val="00C810A4"/>
    <w:rsid w:val="00C83110"/>
    <w:rsid w:val="00C864E7"/>
    <w:rsid w:val="00C958C7"/>
    <w:rsid w:val="00C96BBC"/>
    <w:rsid w:val="00C97430"/>
    <w:rsid w:val="00CA0F72"/>
    <w:rsid w:val="00CA135E"/>
    <w:rsid w:val="00CA2E6F"/>
    <w:rsid w:val="00CA55F4"/>
    <w:rsid w:val="00CA6EB7"/>
    <w:rsid w:val="00CA7019"/>
    <w:rsid w:val="00CB04C2"/>
    <w:rsid w:val="00CC2B7C"/>
    <w:rsid w:val="00CC64EF"/>
    <w:rsid w:val="00CC72E3"/>
    <w:rsid w:val="00CD4B10"/>
    <w:rsid w:val="00CD4F8A"/>
    <w:rsid w:val="00CD5887"/>
    <w:rsid w:val="00CD6528"/>
    <w:rsid w:val="00CE19E1"/>
    <w:rsid w:val="00CE2FB9"/>
    <w:rsid w:val="00CE44AA"/>
    <w:rsid w:val="00CE5CEB"/>
    <w:rsid w:val="00CE77D4"/>
    <w:rsid w:val="00CF357D"/>
    <w:rsid w:val="00CF3FB1"/>
    <w:rsid w:val="00CF6528"/>
    <w:rsid w:val="00CF6E8E"/>
    <w:rsid w:val="00D0630E"/>
    <w:rsid w:val="00D10AD3"/>
    <w:rsid w:val="00D11A39"/>
    <w:rsid w:val="00D11C69"/>
    <w:rsid w:val="00D137F4"/>
    <w:rsid w:val="00D15B48"/>
    <w:rsid w:val="00D2185B"/>
    <w:rsid w:val="00D227C9"/>
    <w:rsid w:val="00D23760"/>
    <w:rsid w:val="00D26B67"/>
    <w:rsid w:val="00D3120C"/>
    <w:rsid w:val="00D33E39"/>
    <w:rsid w:val="00D353D7"/>
    <w:rsid w:val="00D413D4"/>
    <w:rsid w:val="00D41E82"/>
    <w:rsid w:val="00D42613"/>
    <w:rsid w:val="00D42F38"/>
    <w:rsid w:val="00D45AD4"/>
    <w:rsid w:val="00D50C3C"/>
    <w:rsid w:val="00D51874"/>
    <w:rsid w:val="00D5710F"/>
    <w:rsid w:val="00D57534"/>
    <w:rsid w:val="00D61D58"/>
    <w:rsid w:val="00D634BB"/>
    <w:rsid w:val="00D70BF5"/>
    <w:rsid w:val="00D7198E"/>
    <w:rsid w:val="00D71ABA"/>
    <w:rsid w:val="00D72098"/>
    <w:rsid w:val="00D746A7"/>
    <w:rsid w:val="00D8001D"/>
    <w:rsid w:val="00D92151"/>
    <w:rsid w:val="00D937F5"/>
    <w:rsid w:val="00D972FD"/>
    <w:rsid w:val="00DA56B8"/>
    <w:rsid w:val="00DA7B90"/>
    <w:rsid w:val="00DB65CB"/>
    <w:rsid w:val="00DB661E"/>
    <w:rsid w:val="00DB7FCC"/>
    <w:rsid w:val="00DC192C"/>
    <w:rsid w:val="00DC6A13"/>
    <w:rsid w:val="00DC78AD"/>
    <w:rsid w:val="00DD2C9A"/>
    <w:rsid w:val="00DD419C"/>
    <w:rsid w:val="00DD6075"/>
    <w:rsid w:val="00DD7DA5"/>
    <w:rsid w:val="00DE300F"/>
    <w:rsid w:val="00DE56E9"/>
    <w:rsid w:val="00DE6CE1"/>
    <w:rsid w:val="00E02301"/>
    <w:rsid w:val="00E04015"/>
    <w:rsid w:val="00E06DB6"/>
    <w:rsid w:val="00E20E57"/>
    <w:rsid w:val="00E26314"/>
    <w:rsid w:val="00E36EED"/>
    <w:rsid w:val="00E4222C"/>
    <w:rsid w:val="00E426CB"/>
    <w:rsid w:val="00E45CCC"/>
    <w:rsid w:val="00E5067F"/>
    <w:rsid w:val="00E50B17"/>
    <w:rsid w:val="00E53A8A"/>
    <w:rsid w:val="00E6193D"/>
    <w:rsid w:val="00E70695"/>
    <w:rsid w:val="00E7080C"/>
    <w:rsid w:val="00E7448F"/>
    <w:rsid w:val="00E75E1E"/>
    <w:rsid w:val="00E770BF"/>
    <w:rsid w:val="00E80293"/>
    <w:rsid w:val="00E8495D"/>
    <w:rsid w:val="00E85C3B"/>
    <w:rsid w:val="00E863EF"/>
    <w:rsid w:val="00E8653C"/>
    <w:rsid w:val="00E93E7A"/>
    <w:rsid w:val="00E96C17"/>
    <w:rsid w:val="00EA03F6"/>
    <w:rsid w:val="00EB2B12"/>
    <w:rsid w:val="00EB5208"/>
    <w:rsid w:val="00EB5622"/>
    <w:rsid w:val="00EC02E3"/>
    <w:rsid w:val="00EC20CA"/>
    <w:rsid w:val="00EC34A4"/>
    <w:rsid w:val="00EC4C9E"/>
    <w:rsid w:val="00EC7151"/>
    <w:rsid w:val="00ED2C90"/>
    <w:rsid w:val="00ED5F4E"/>
    <w:rsid w:val="00EE05BE"/>
    <w:rsid w:val="00EE4E49"/>
    <w:rsid w:val="00EE7B47"/>
    <w:rsid w:val="00EF10D0"/>
    <w:rsid w:val="00EF20A9"/>
    <w:rsid w:val="00EF4045"/>
    <w:rsid w:val="00EF523F"/>
    <w:rsid w:val="00F05DE1"/>
    <w:rsid w:val="00F13D9F"/>
    <w:rsid w:val="00F14695"/>
    <w:rsid w:val="00F203D1"/>
    <w:rsid w:val="00F25409"/>
    <w:rsid w:val="00F42F85"/>
    <w:rsid w:val="00F43606"/>
    <w:rsid w:val="00F52B71"/>
    <w:rsid w:val="00F6571F"/>
    <w:rsid w:val="00F7330A"/>
    <w:rsid w:val="00F74B46"/>
    <w:rsid w:val="00F75951"/>
    <w:rsid w:val="00F77911"/>
    <w:rsid w:val="00F77EF7"/>
    <w:rsid w:val="00F84C21"/>
    <w:rsid w:val="00F8563B"/>
    <w:rsid w:val="00F9104F"/>
    <w:rsid w:val="00F971D3"/>
    <w:rsid w:val="00F97621"/>
    <w:rsid w:val="00F977CC"/>
    <w:rsid w:val="00F97928"/>
    <w:rsid w:val="00FA19EA"/>
    <w:rsid w:val="00FA38C1"/>
    <w:rsid w:val="00FA5357"/>
    <w:rsid w:val="00FA6604"/>
    <w:rsid w:val="00FB598E"/>
    <w:rsid w:val="00FB7056"/>
    <w:rsid w:val="00FB718E"/>
    <w:rsid w:val="00FC03A0"/>
    <w:rsid w:val="00FC0852"/>
    <w:rsid w:val="00FC0AAD"/>
    <w:rsid w:val="00FC13BB"/>
    <w:rsid w:val="00FC1D2E"/>
    <w:rsid w:val="00FC2325"/>
    <w:rsid w:val="00FC7900"/>
    <w:rsid w:val="00FD421A"/>
    <w:rsid w:val="00FD5187"/>
    <w:rsid w:val="00FD544F"/>
    <w:rsid w:val="00FD7CDA"/>
    <w:rsid w:val="00FE3398"/>
    <w:rsid w:val="00FE3AD4"/>
    <w:rsid w:val="00FE4413"/>
    <w:rsid w:val="00FE4EE7"/>
    <w:rsid w:val="00FE604C"/>
    <w:rsid w:val="00FE7993"/>
    <w:rsid w:val="00FF042F"/>
    <w:rsid w:val="00FF172B"/>
    <w:rsid w:val="00FF198E"/>
    <w:rsid w:val="00FF4989"/>
    <w:rsid w:val="00FF5535"/>
    <w:rsid w:val="00FF5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E1BC"/>
  <w15:docId w15:val="{6AD7A934-FCA4-47D8-9442-F650118F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89572D"/>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89572D"/>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89572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9572D"/>
    <w:rPr>
      <w:b/>
      <w:bCs/>
    </w:rPr>
  </w:style>
  <w:style w:type="character" w:styleId="Hiperhivatkozs">
    <w:name w:val="Hyperlink"/>
    <w:basedOn w:val="Bekezdsalapbettpusa"/>
    <w:uiPriority w:val="99"/>
    <w:unhideWhenUsed/>
    <w:rsid w:val="0089572D"/>
    <w:rPr>
      <w:color w:val="0000FF"/>
      <w:u w:val="single"/>
    </w:rPr>
  </w:style>
  <w:style w:type="character" w:customStyle="1" w:styleId="day">
    <w:name w:val="day"/>
    <w:basedOn w:val="Bekezdsalapbettpusa"/>
    <w:rsid w:val="0089572D"/>
  </w:style>
  <w:style w:type="paragraph" w:styleId="Listaszerbekezds">
    <w:name w:val="List Paragraph"/>
    <w:basedOn w:val="Norml"/>
    <w:uiPriority w:val="34"/>
    <w:qFormat/>
    <w:rsid w:val="00D937F5"/>
    <w:pPr>
      <w:ind w:left="720"/>
      <w:contextualSpacing/>
    </w:pPr>
  </w:style>
  <w:style w:type="character" w:styleId="Jegyzethivatkozs">
    <w:name w:val="annotation reference"/>
    <w:basedOn w:val="Bekezdsalapbettpusa"/>
    <w:uiPriority w:val="99"/>
    <w:semiHidden/>
    <w:unhideWhenUsed/>
    <w:rsid w:val="00CD4B10"/>
    <w:rPr>
      <w:sz w:val="16"/>
      <w:szCs w:val="16"/>
    </w:rPr>
  </w:style>
  <w:style w:type="paragraph" w:styleId="Jegyzetszveg">
    <w:name w:val="annotation text"/>
    <w:basedOn w:val="Norml"/>
    <w:link w:val="JegyzetszvegChar"/>
    <w:uiPriority w:val="99"/>
    <w:semiHidden/>
    <w:unhideWhenUsed/>
    <w:rsid w:val="00CD4B10"/>
    <w:pPr>
      <w:spacing w:line="240" w:lineRule="auto"/>
    </w:pPr>
    <w:rPr>
      <w:sz w:val="20"/>
      <w:szCs w:val="20"/>
    </w:rPr>
  </w:style>
  <w:style w:type="character" w:customStyle="1" w:styleId="JegyzetszvegChar">
    <w:name w:val="Jegyzetszöveg Char"/>
    <w:basedOn w:val="Bekezdsalapbettpusa"/>
    <w:link w:val="Jegyzetszveg"/>
    <w:uiPriority w:val="99"/>
    <w:semiHidden/>
    <w:rsid w:val="00CD4B10"/>
    <w:rPr>
      <w:sz w:val="20"/>
      <w:szCs w:val="20"/>
    </w:rPr>
  </w:style>
  <w:style w:type="paragraph" w:styleId="Megjegyzstrgya">
    <w:name w:val="annotation subject"/>
    <w:basedOn w:val="Jegyzetszveg"/>
    <w:next w:val="Jegyzetszveg"/>
    <w:link w:val="MegjegyzstrgyaChar"/>
    <w:uiPriority w:val="99"/>
    <w:semiHidden/>
    <w:unhideWhenUsed/>
    <w:rsid w:val="00CD4B10"/>
    <w:rPr>
      <w:b/>
      <w:bCs/>
    </w:rPr>
  </w:style>
  <w:style w:type="character" w:customStyle="1" w:styleId="MegjegyzstrgyaChar">
    <w:name w:val="Megjegyzés tárgya Char"/>
    <w:basedOn w:val="JegyzetszvegChar"/>
    <w:link w:val="Megjegyzstrgya"/>
    <w:uiPriority w:val="99"/>
    <w:semiHidden/>
    <w:rsid w:val="00CD4B10"/>
    <w:rPr>
      <w:b/>
      <w:bCs/>
      <w:sz w:val="20"/>
      <w:szCs w:val="20"/>
    </w:rPr>
  </w:style>
  <w:style w:type="paragraph" w:styleId="Vltozat">
    <w:name w:val="Revision"/>
    <w:hidden/>
    <w:uiPriority w:val="99"/>
    <w:semiHidden/>
    <w:rsid w:val="00CD4B10"/>
    <w:pPr>
      <w:spacing w:after="0" w:line="240" w:lineRule="auto"/>
    </w:pPr>
  </w:style>
  <w:style w:type="paragraph" w:styleId="Buborkszveg">
    <w:name w:val="Balloon Text"/>
    <w:basedOn w:val="Norml"/>
    <w:link w:val="BuborkszvegChar"/>
    <w:uiPriority w:val="99"/>
    <w:semiHidden/>
    <w:unhideWhenUsed/>
    <w:rsid w:val="00CD4B1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D4B10"/>
    <w:rPr>
      <w:rFonts w:ascii="Segoe UI" w:hAnsi="Segoe UI" w:cs="Segoe UI"/>
      <w:sz w:val="18"/>
      <w:szCs w:val="18"/>
    </w:rPr>
  </w:style>
  <w:style w:type="paragraph" w:styleId="lfej">
    <w:name w:val="header"/>
    <w:basedOn w:val="Norml"/>
    <w:link w:val="lfejChar"/>
    <w:uiPriority w:val="99"/>
    <w:unhideWhenUsed/>
    <w:rsid w:val="0071559F"/>
    <w:pPr>
      <w:tabs>
        <w:tab w:val="center" w:pos="4536"/>
        <w:tab w:val="right" w:pos="9072"/>
      </w:tabs>
      <w:spacing w:after="0" w:line="240" w:lineRule="auto"/>
    </w:pPr>
  </w:style>
  <w:style w:type="character" w:customStyle="1" w:styleId="lfejChar">
    <w:name w:val="Élőfej Char"/>
    <w:basedOn w:val="Bekezdsalapbettpusa"/>
    <w:link w:val="lfej"/>
    <w:uiPriority w:val="99"/>
    <w:rsid w:val="0071559F"/>
  </w:style>
  <w:style w:type="paragraph" w:styleId="llb">
    <w:name w:val="footer"/>
    <w:basedOn w:val="Norml"/>
    <w:link w:val="llbChar"/>
    <w:uiPriority w:val="99"/>
    <w:unhideWhenUsed/>
    <w:rsid w:val="0071559F"/>
    <w:pPr>
      <w:tabs>
        <w:tab w:val="center" w:pos="4536"/>
        <w:tab w:val="right" w:pos="9072"/>
      </w:tabs>
      <w:spacing w:after="0" w:line="240" w:lineRule="auto"/>
    </w:pPr>
  </w:style>
  <w:style w:type="character" w:customStyle="1" w:styleId="llbChar">
    <w:name w:val="Élőláb Char"/>
    <w:basedOn w:val="Bekezdsalapbettpusa"/>
    <w:link w:val="llb"/>
    <w:uiPriority w:val="99"/>
    <w:rsid w:val="0071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17716">
      <w:bodyDiv w:val="1"/>
      <w:marLeft w:val="0"/>
      <w:marRight w:val="0"/>
      <w:marTop w:val="0"/>
      <w:marBottom w:val="0"/>
      <w:divBdr>
        <w:top w:val="none" w:sz="0" w:space="0" w:color="auto"/>
        <w:left w:val="none" w:sz="0" w:space="0" w:color="auto"/>
        <w:bottom w:val="none" w:sz="0" w:space="0" w:color="auto"/>
        <w:right w:val="none" w:sz="0" w:space="0" w:color="auto"/>
      </w:divBdr>
      <w:divsChild>
        <w:div w:id="1672489139">
          <w:marLeft w:val="0"/>
          <w:marRight w:val="0"/>
          <w:marTop w:val="0"/>
          <w:marBottom w:val="0"/>
          <w:divBdr>
            <w:top w:val="none" w:sz="0" w:space="0" w:color="auto"/>
            <w:left w:val="none" w:sz="0" w:space="0" w:color="auto"/>
            <w:bottom w:val="none" w:sz="0" w:space="0" w:color="auto"/>
            <w:right w:val="none" w:sz="0" w:space="0" w:color="auto"/>
          </w:divBdr>
          <w:divsChild>
            <w:div w:id="308171354">
              <w:marLeft w:val="0"/>
              <w:marRight w:val="0"/>
              <w:marTop w:val="0"/>
              <w:marBottom w:val="0"/>
              <w:divBdr>
                <w:top w:val="none" w:sz="0" w:space="0" w:color="auto"/>
                <w:left w:val="none" w:sz="0" w:space="0" w:color="auto"/>
                <w:bottom w:val="none" w:sz="0" w:space="0" w:color="auto"/>
                <w:right w:val="none" w:sz="0" w:space="0" w:color="auto"/>
              </w:divBdr>
              <w:divsChild>
                <w:div w:id="14059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5440-85AD-4976-A1D8-4B1EBAF9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1898</Words>
  <Characters>13100</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Hanifa Andrea</dc:creator>
  <cp:lastModifiedBy>Lázár Eszter</cp:lastModifiedBy>
  <cp:revision>5</cp:revision>
  <cp:lastPrinted>2021-08-23T14:07:00Z</cp:lastPrinted>
  <dcterms:created xsi:type="dcterms:W3CDTF">2021-12-09T13:44:00Z</dcterms:created>
  <dcterms:modified xsi:type="dcterms:W3CDTF">2021-12-10T10:08:00Z</dcterms:modified>
</cp:coreProperties>
</file>